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6C7B" w14:textId="77777777" w:rsidR="00B270D5" w:rsidRDefault="00B270D5" w:rsidP="00E75714">
      <w:pPr>
        <w:pStyle w:val="Heading1"/>
        <w:ind w:firstLine="0"/>
        <w:rPr>
          <w:rFonts w:ascii="Arial" w:hAnsi="Arial"/>
          <w:sz w:val="44"/>
        </w:rPr>
      </w:pPr>
    </w:p>
    <w:p w14:paraId="02EB378F" w14:textId="77777777" w:rsidR="00B270D5" w:rsidRDefault="00B270D5" w:rsidP="006D0300">
      <w:pPr>
        <w:pStyle w:val="Heading1"/>
        <w:jc w:val="center"/>
        <w:rPr>
          <w:rFonts w:ascii="Arial" w:hAnsi="Arial"/>
          <w:sz w:val="44"/>
        </w:rPr>
      </w:pPr>
    </w:p>
    <w:p w14:paraId="6A05A809" w14:textId="77777777" w:rsidR="00B270D5" w:rsidRDefault="00A727A9" w:rsidP="002B56AF">
      <w:pPr>
        <w:pStyle w:val="Heading1"/>
        <w:ind w:left="5760" w:firstLine="0"/>
        <w:jc w:val="center"/>
        <w:rPr>
          <w:noProof/>
          <w:lang w:eastAsia="en-GB"/>
        </w:rPr>
      </w:pPr>
      <w:r>
        <w:rPr>
          <w:noProof/>
        </w:rPr>
        <w:drawing>
          <wp:inline distT="0" distB="0" distL="0" distR="0" wp14:anchorId="7AADC706" wp14:editId="0BA11900">
            <wp:extent cx="19431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43100" cy="809625"/>
                    </a:xfrm>
                    <a:prstGeom prst="rect">
                      <a:avLst/>
                    </a:prstGeom>
                  </pic:spPr>
                </pic:pic>
              </a:graphicData>
            </a:graphic>
          </wp:inline>
        </w:drawing>
      </w:r>
    </w:p>
    <w:p w14:paraId="5A39BBE3" w14:textId="77777777" w:rsidR="00B270D5" w:rsidRDefault="00B270D5" w:rsidP="006D0300">
      <w:pPr>
        <w:pStyle w:val="Heading1"/>
        <w:jc w:val="center"/>
        <w:rPr>
          <w:noProof/>
          <w:lang w:eastAsia="en-GB"/>
        </w:rPr>
      </w:pPr>
    </w:p>
    <w:p w14:paraId="41C8F396" w14:textId="77777777" w:rsidR="00B270D5" w:rsidRDefault="00B270D5" w:rsidP="006D0300">
      <w:pPr>
        <w:pStyle w:val="Heading1"/>
        <w:jc w:val="center"/>
        <w:rPr>
          <w:noProof/>
          <w:lang w:eastAsia="en-GB"/>
        </w:rPr>
      </w:pPr>
    </w:p>
    <w:p w14:paraId="72A3D3EC" w14:textId="77777777" w:rsidR="00B270D5" w:rsidRDefault="00B270D5" w:rsidP="006D0300">
      <w:pPr>
        <w:pStyle w:val="Heading1"/>
        <w:jc w:val="center"/>
        <w:rPr>
          <w:noProof/>
          <w:lang w:eastAsia="en-GB"/>
        </w:rPr>
      </w:pPr>
    </w:p>
    <w:p w14:paraId="0D0B940D" w14:textId="77777777" w:rsidR="00B270D5" w:rsidRDefault="00B270D5" w:rsidP="006D0300">
      <w:pPr>
        <w:pStyle w:val="Heading1"/>
        <w:jc w:val="center"/>
        <w:rPr>
          <w:noProof/>
          <w:lang w:eastAsia="en-GB"/>
        </w:rPr>
      </w:pPr>
    </w:p>
    <w:p w14:paraId="01617B2B" w14:textId="72A7A5F3" w:rsidR="006D0300" w:rsidRPr="00D6293B" w:rsidRDefault="005C6160" w:rsidP="006D0300">
      <w:pPr>
        <w:pStyle w:val="Heading1"/>
        <w:jc w:val="center"/>
        <w:rPr>
          <w:rFonts w:ascii="Arial" w:hAnsi="Arial"/>
          <w:b/>
          <w:bCs/>
          <w:sz w:val="72"/>
          <w:szCs w:val="72"/>
          <w:u w:val="none"/>
        </w:rPr>
      </w:pPr>
      <w:bookmarkStart w:id="0" w:name="_Estate_Management"/>
      <w:bookmarkEnd w:id="0"/>
      <w:r>
        <w:rPr>
          <w:rFonts w:ascii="Arial" w:hAnsi="Arial"/>
          <w:b/>
          <w:bCs/>
          <w:sz w:val="72"/>
          <w:szCs w:val="72"/>
          <w:u w:val="none"/>
        </w:rPr>
        <w:t>Alloca</w:t>
      </w:r>
      <w:r w:rsidR="00E75714">
        <w:rPr>
          <w:rFonts w:ascii="Arial" w:hAnsi="Arial"/>
          <w:b/>
          <w:bCs/>
          <w:sz w:val="72"/>
          <w:szCs w:val="72"/>
          <w:u w:val="none"/>
        </w:rPr>
        <w:t>t</w:t>
      </w:r>
      <w:r>
        <w:rPr>
          <w:rFonts w:ascii="Arial" w:hAnsi="Arial"/>
          <w:b/>
          <w:bCs/>
          <w:sz w:val="72"/>
          <w:szCs w:val="72"/>
          <w:u w:val="none"/>
        </w:rPr>
        <w:t>ions</w:t>
      </w:r>
      <w:r w:rsidR="004854C3">
        <w:rPr>
          <w:rFonts w:ascii="Arial" w:hAnsi="Arial"/>
          <w:b/>
          <w:bCs/>
          <w:sz w:val="72"/>
          <w:szCs w:val="72"/>
          <w:u w:val="none"/>
        </w:rPr>
        <w:t xml:space="preserve"> Policy</w:t>
      </w:r>
    </w:p>
    <w:p w14:paraId="0E27B00A" w14:textId="77777777" w:rsidR="00B270D5" w:rsidRPr="00D6293B" w:rsidRDefault="00B270D5" w:rsidP="00B270D5">
      <w:pPr>
        <w:rPr>
          <w:sz w:val="72"/>
          <w:szCs w:val="72"/>
        </w:rPr>
      </w:pPr>
    </w:p>
    <w:p w14:paraId="60061E4C" w14:textId="77777777" w:rsidR="00B270D5" w:rsidRPr="00D6293B" w:rsidRDefault="00B270D5" w:rsidP="00B270D5">
      <w:pPr>
        <w:rPr>
          <w:sz w:val="72"/>
          <w:szCs w:val="72"/>
        </w:rPr>
      </w:pPr>
    </w:p>
    <w:p w14:paraId="44EAFD9C" w14:textId="77777777" w:rsidR="00B270D5" w:rsidRPr="00D6293B" w:rsidRDefault="00B270D5" w:rsidP="00B270D5">
      <w:pPr>
        <w:rPr>
          <w:sz w:val="72"/>
          <w:szCs w:val="72"/>
        </w:rPr>
      </w:pPr>
    </w:p>
    <w:p w14:paraId="65B281B9" w14:textId="364EDA4B" w:rsidR="00B270D5" w:rsidRDefault="00B270D5" w:rsidP="00D6293B">
      <w:pPr>
        <w:jc w:val="center"/>
        <w:rPr>
          <w:b/>
          <w:bCs/>
          <w:sz w:val="72"/>
          <w:szCs w:val="72"/>
        </w:rPr>
      </w:pPr>
      <w:r w:rsidRPr="00D6293B">
        <w:rPr>
          <w:b/>
          <w:bCs/>
          <w:sz w:val="72"/>
          <w:szCs w:val="72"/>
        </w:rPr>
        <w:t>202</w:t>
      </w:r>
      <w:r w:rsidR="005C6160">
        <w:rPr>
          <w:b/>
          <w:bCs/>
          <w:sz w:val="72"/>
          <w:szCs w:val="72"/>
        </w:rPr>
        <w:t>2</w:t>
      </w:r>
    </w:p>
    <w:p w14:paraId="4B94D5A5" w14:textId="77777777" w:rsidR="002B56AF" w:rsidRDefault="002B56AF" w:rsidP="00D6293B">
      <w:pPr>
        <w:jc w:val="center"/>
        <w:rPr>
          <w:b/>
          <w:bCs/>
          <w:sz w:val="72"/>
          <w:szCs w:val="72"/>
        </w:rPr>
      </w:pPr>
    </w:p>
    <w:p w14:paraId="3DEEC669" w14:textId="77777777" w:rsidR="002B56AF" w:rsidRDefault="002B56AF" w:rsidP="00D6293B">
      <w:pPr>
        <w:jc w:val="center"/>
        <w:rPr>
          <w:b/>
          <w:bCs/>
          <w:sz w:val="72"/>
          <w:szCs w:val="72"/>
        </w:rPr>
      </w:pPr>
    </w:p>
    <w:p w14:paraId="3656B9AB" w14:textId="77777777" w:rsidR="002B56AF" w:rsidRDefault="002B56AF" w:rsidP="00D6293B">
      <w:pPr>
        <w:jc w:val="center"/>
        <w:rPr>
          <w:b/>
          <w:bCs/>
          <w:sz w:val="72"/>
          <w:szCs w:val="72"/>
        </w:rPr>
      </w:pPr>
    </w:p>
    <w:p w14:paraId="45FB0818" w14:textId="77777777" w:rsidR="002E3CF7" w:rsidRDefault="002E3CF7" w:rsidP="00D6293B">
      <w:pPr>
        <w:jc w:val="center"/>
        <w:rPr>
          <w:b/>
          <w:bCs/>
          <w:sz w:val="72"/>
          <w:szCs w:val="72"/>
        </w:rPr>
      </w:pPr>
    </w:p>
    <w:p w14:paraId="049F31CB" w14:textId="77777777" w:rsidR="002E3CF7" w:rsidRDefault="002E3CF7" w:rsidP="00D6293B">
      <w:pPr>
        <w:jc w:val="center"/>
        <w:rPr>
          <w:b/>
          <w:bCs/>
          <w:sz w:val="72"/>
          <w:szCs w:val="7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492"/>
      </w:tblGrid>
      <w:tr w:rsidR="002B56AF" w:rsidRPr="00A95136" w14:paraId="29A15F0C" w14:textId="77777777" w:rsidTr="00F94F7F">
        <w:tc>
          <w:tcPr>
            <w:tcW w:w="4621" w:type="dxa"/>
            <w:shd w:val="clear" w:color="auto" w:fill="auto"/>
          </w:tcPr>
          <w:p w14:paraId="513D4903" w14:textId="77777777" w:rsidR="002B56AF" w:rsidRPr="00A95136" w:rsidRDefault="002B56AF" w:rsidP="00F94F7F">
            <w:pPr>
              <w:overflowPunct w:val="0"/>
              <w:autoSpaceDE w:val="0"/>
              <w:autoSpaceDN w:val="0"/>
              <w:adjustRightInd w:val="0"/>
              <w:ind w:right="-307"/>
              <w:jc w:val="both"/>
              <w:textAlignment w:val="baseline"/>
              <w:rPr>
                <w:rFonts w:eastAsia="Times New Roman" w:cs="Arial"/>
                <w:b/>
                <w:color w:val="000000"/>
                <w:sz w:val="24"/>
                <w:szCs w:val="24"/>
              </w:rPr>
            </w:pPr>
            <w:r w:rsidRPr="00A95136">
              <w:rPr>
                <w:rFonts w:eastAsia="Times New Roman" w:cs="Arial"/>
                <w:b/>
                <w:color w:val="000000"/>
                <w:sz w:val="24"/>
                <w:szCs w:val="24"/>
              </w:rPr>
              <w:t>Approved On</w:t>
            </w:r>
          </w:p>
        </w:tc>
        <w:tc>
          <w:tcPr>
            <w:tcW w:w="4621" w:type="dxa"/>
            <w:shd w:val="clear" w:color="auto" w:fill="auto"/>
          </w:tcPr>
          <w:p w14:paraId="1897C7B7" w14:textId="0A195082" w:rsidR="002B56AF" w:rsidRPr="00A95136" w:rsidRDefault="002B56AF" w:rsidP="00F94F7F">
            <w:pPr>
              <w:overflowPunct w:val="0"/>
              <w:autoSpaceDE w:val="0"/>
              <w:autoSpaceDN w:val="0"/>
              <w:adjustRightInd w:val="0"/>
              <w:ind w:right="-307"/>
              <w:jc w:val="both"/>
              <w:textAlignment w:val="baseline"/>
              <w:rPr>
                <w:rFonts w:eastAsia="Times New Roman" w:cs="Arial"/>
                <w:b/>
                <w:color w:val="000000"/>
                <w:sz w:val="24"/>
                <w:szCs w:val="24"/>
              </w:rPr>
            </w:pPr>
          </w:p>
        </w:tc>
      </w:tr>
      <w:tr w:rsidR="002B56AF" w:rsidRPr="00A95136" w14:paraId="4B2B48CD" w14:textId="77777777" w:rsidTr="00F94F7F">
        <w:tc>
          <w:tcPr>
            <w:tcW w:w="4621" w:type="dxa"/>
            <w:shd w:val="clear" w:color="auto" w:fill="auto"/>
          </w:tcPr>
          <w:p w14:paraId="53365D98" w14:textId="77777777" w:rsidR="002B56AF" w:rsidRPr="00A95136" w:rsidRDefault="002B56AF" w:rsidP="00F94F7F">
            <w:pPr>
              <w:overflowPunct w:val="0"/>
              <w:autoSpaceDE w:val="0"/>
              <w:autoSpaceDN w:val="0"/>
              <w:adjustRightInd w:val="0"/>
              <w:ind w:right="-307"/>
              <w:jc w:val="both"/>
              <w:textAlignment w:val="baseline"/>
              <w:rPr>
                <w:rFonts w:eastAsia="Times New Roman" w:cs="Arial"/>
                <w:b/>
                <w:color w:val="000000"/>
                <w:sz w:val="24"/>
                <w:szCs w:val="24"/>
              </w:rPr>
            </w:pPr>
            <w:r w:rsidRPr="00A95136">
              <w:rPr>
                <w:rFonts w:eastAsia="Times New Roman" w:cs="Arial"/>
                <w:b/>
                <w:color w:val="000000"/>
                <w:sz w:val="24"/>
                <w:szCs w:val="24"/>
              </w:rPr>
              <w:t>Next Review Date</w:t>
            </w:r>
          </w:p>
        </w:tc>
        <w:tc>
          <w:tcPr>
            <w:tcW w:w="4621" w:type="dxa"/>
            <w:shd w:val="clear" w:color="auto" w:fill="auto"/>
          </w:tcPr>
          <w:p w14:paraId="3C04FD3E" w14:textId="083235DD" w:rsidR="002B56AF" w:rsidRPr="00A95136" w:rsidRDefault="002B56AF" w:rsidP="00F94F7F">
            <w:pPr>
              <w:overflowPunct w:val="0"/>
              <w:autoSpaceDE w:val="0"/>
              <w:autoSpaceDN w:val="0"/>
              <w:adjustRightInd w:val="0"/>
              <w:ind w:right="-307"/>
              <w:jc w:val="both"/>
              <w:textAlignment w:val="baseline"/>
              <w:rPr>
                <w:rFonts w:eastAsia="Times New Roman" w:cs="Arial"/>
                <w:b/>
                <w:color w:val="000000"/>
                <w:sz w:val="24"/>
                <w:szCs w:val="24"/>
              </w:rPr>
            </w:pPr>
          </w:p>
        </w:tc>
      </w:tr>
    </w:tbl>
    <w:p w14:paraId="53128261" w14:textId="77777777" w:rsidR="0062400E" w:rsidRDefault="0062400E" w:rsidP="00F93656">
      <w:pPr>
        <w:rPr>
          <w:sz w:val="36"/>
        </w:rPr>
      </w:pPr>
    </w:p>
    <w:p w14:paraId="7757CA9A" w14:textId="07C16E84" w:rsidR="00EC0C8D" w:rsidRPr="00C70587" w:rsidRDefault="008138C7" w:rsidP="00C70587">
      <w:pPr>
        <w:rPr>
          <w:sz w:val="36"/>
        </w:rPr>
      </w:pPr>
      <w:r w:rsidRPr="0062400E">
        <w:rPr>
          <w:sz w:val="36"/>
        </w:rPr>
        <w:br w:type="page"/>
      </w:r>
      <w:r w:rsidR="00802F15" w:rsidRPr="00D6293B">
        <w:rPr>
          <w:rFonts w:cs="Arial"/>
          <w:b/>
          <w:bCs/>
          <w:szCs w:val="24"/>
        </w:rPr>
        <w:lastRenderedPageBreak/>
        <w:t>C</w:t>
      </w:r>
      <w:r w:rsidR="002B168C">
        <w:rPr>
          <w:rFonts w:cs="Arial"/>
          <w:b/>
          <w:bCs/>
          <w:szCs w:val="24"/>
        </w:rPr>
        <w:t>ONTENTS</w:t>
      </w:r>
      <w:r w:rsidR="00E57848">
        <w:rPr>
          <w:rFonts w:cs="Arial"/>
          <w:b/>
          <w:bCs/>
          <w:szCs w:val="24"/>
        </w:rPr>
        <w:tab/>
      </w:r>
      <w:r w:rsidR="00E57848">
        <w:rPr>
          <w:rFonts w:cs="Arial"/>
          <w:b/>
          <w:bCs/>
          <w:szCs w:val="24"/>
        </w:rPr>
        <w:tab/>
      </w:r>
      <w:r w:rsidR="00E57848">
        <w:rPr>
          <w:rFonts w:cs="Arial"/>
          <w:b/>
          <w:bCs/>
          <w:szCs w:val="24"/>
        </w:rPr>
        <w:tab/>
      </w:r>
      <w:r w:rsidR="00E57848">
        <w:rPr>
          <w:rFonts w:cs="Arial"/>
          <w:b/>
          <w:bCs/>
          <w:szCs w:val="24"/>
        </w:rPr>
        <w:tab/>
      </w:r>
      <w:r w:rsidR="00E57848">
        <w:rPr>
          <w:rFonts w:cs="Arial"/>
          <w:b/>
          <w:bCs/>
          <w:szCs w:val="24"/>
        </w:rPr>
        <w:tab/>
      </w:r>
      <w:r w:rsidR="00E57848">
        <w:rPr>
          <w:rFonts w:cs="Arial"/>
          <w:b/>
          <w:bCs/>
          <w:szCs w:val="24"/>
        </w:rPr>
        <w:tab/>
      </w:r>
      <w:r w:rsidR="00E57848">
        <w:rPr>
          <w:rFonts w:cs="Arial"/>
          <w:b/>
          <w:bCs/>
          <w:szCs w:val="24"/>
        </w:rPr>
        <w:tab/>
      </w:r>
      <w:r w:rsidR="00E57848">
        <w:rPr>
          <w:rFonts w:cs="Arial"/>
          <w:b/>
          <w:bCs/>
          <w:szCs w:val="24"/>
        </w:rPr>
        <w:tab/>
      </w:r>
      <w:r w:rsidR="00E57848">
        <w:rPr>
          <w:rFonts w:cs="Arial"/>
          <w:b/>
          <w:bCs/>
          <w:szCs w:val="24"/>
        </w:rPr>
        <w:tab/>
      </w:r>
      <w:r w:rsidR="00B619F9" w:rsidRPr="00E57848">
        <w:rPr>
          <w:rFonts w:cs="Arial"/>
          <w:b/>
          <w:bCs/>
          <w:szCs w:val="24"/>
        </w:rPr>
        <w:t>P</w:t>
      </w:r>
      <w:r w:rsidR="00E57848">
        <w:rPr>
          <w:rFonts w:cs="Arial"/>
          <w:b/>
          <w:bCs/>
          <w:szCs w:val="24"/>
        </w:rPr>
        <w:t>AGE</w:t>
      </w:r>
    </w:p>
    <w:p w14:paraId="4101652C" w14:textId="77777777" w:rsidR="00B619F9" w:rsidRDefault="00B619F9" w:rsidP="00802F15">
      <w:pPr>
        <w:pStyle w:val="BodyText"/>
        <w:rPr>
          <w:rFonts w:ascii="Arial" w:hAnsi="Arial" w:cs="Arial"/>
          <w:szCs w:val="24"/>
        </w:rPr>
      </w:pPr>
    </w:p>
    <w:p w14:paraId="4B99056E" w14:textId="77777777" w:rsidR="00B619F9" w:rsidRDefault="00B619F9" w:rsidP="00802F15">
      <w:pPr>
        <w:pStyle w:val="BodyText"/>
        <w:rPr>
          <w:rFonts w:ascii="Arial" w:hAnsi="Arial" w:cs="Arial"/>
          <w:szCs w:val="24"/>
        </w:rPr>
      </w:pPr>
    </w:p>
    <w:p w14:paraId="3C87608F" w14:textId="28012DF6" w:rsidR="00802F15" w:rsidRPr="00D6293B" w:rsidRDefault="00150CC7" w:rsidP="00802F15">
      <w:pPr>
        <w:pStyle w:val="BodyText"/>
        <w:rPr>
          <w:rFonts w:ascii="Arial" w:hAnsi="Arial" w:cs="Arial"/>
          <w:szCs w:val="24"/>
        </w:rPr>
      </w:pPr>
      <w:hyperlink w:anchor="Policystatement" w:history="1">
        <w:r w:rsidR="00875ED6" w:rsidRPr="00E57848">
          <w:rPr>
            <w:rStyle w:val="Hyperlink"/>
            <w:rFonts w:ascii="Arial" w:hAnsi="Arial" w:cs="Arial"/>
            <w:szCs w:val="24"/>
          </w:rPr>
          <w:t>Policy statement</w:t>
        </w:r>
      </w:hyperlink>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9E058B">
        <w:rPr>
          <w:rFonts w:ascii="Arial" w:hAnsi="Arial" w:cs="Arial"/>
          <w:szCs w:val="24"/>
        </w:rPr>
        <w:t>4</w:t>
      </w:r>
    </w:p>
    <w:p w14:paraId="1299C43A" w14:textId="77777777" w:rsidR="00F216C5" w:rsidRPr="00D6293B" w:rsidRDefault="00F216C5" w:rsidP="00802F15">
      <w:pPr>
        <w:pStyle w:val="BodyText"/>
        <w:rPr>
          <w:rFonts w:ascii="Arial" w:hAnsi="Arial" w:cs="Arial"/>
          <w:szCs w:val="24"/>
        </w:rPr>
      </w:pPr>
    </w:p>
    <w:p w14:paraId="20B49E52" w14:textId="333223F1" w:rsidR="00F216C5" w:rsidRPr="00D6293B" w:rsidRDefault="00150CC7" w:rsidP="00802F15">
      <w:pPr>
        <w:pStyle w:val="BodyText"/>
        <w:rPr>
          <w:rFonts w:ascii="Arial" w:hAnsi="Arial" w:cs="Arial"/>
          <w:szCs w:val="24"/>
        </w:rPr>
      </w:pPr>
      <w:hyperlink w:anchor="Rolesandresponsibilities" w:history="1">
        <w:r w:rsidR="00875ED6" w:rsidRPr="00E57848">
          <w:rPr>
            <w:rStyle w:val="Hyperlink"/>
            <w:rFonts w:ascii="Arial" w:hAnsi="Arial" w:cs="Arial"/>
            <w:szCs w:val="24"/>
          </w:rPr>
          <w:t xml:space="preserve">Roles and </w:t>
        </w:r>
        <w:r w:rsidR="00757F30" w:rsidRPr="00E57848">
          <w:rPr>
            <w:rStyle w:val="Hyperlink"/>
            <w:rFonts w:ascii="Arial" w:hAnsi="Arial" w:cs="Arial"/>
            <w:szCs w:val="24"/>
          </w:rPr>
          <w:t>responsibilities</w:t>
        </w:r>
      </w:hyperlink>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E57848">
        <w:rPr>
          <w:rFonts w:ascii="Arial" w:hAnsi="Arial" w:cs="Arial"/>
          <w:szCs w:val="24"/>
        </w:rPr>
        <w:tab/>
      </w:r>
      <w:r w:rsidR="00E57848">
        <w:rPr>
          <w:rFonts w:ascii="Arial" w:hAnsi="Arial" w:cs="Arial"/>
          <w:szCs w:val="24"/>
        </w:rPr>
        <w:tab/>
      </w:r>
      <w:r w:rsidR="00E57848">
        <w:rPr>
          <w:rFonts w:ascii="Arial" w:hAnsi="Arial" w:cs="Arial"/>
          <w:szCs w:val="24"/>
        </w:rPr>
        <w:tab/>
      </w:r>
      <w:r w:rsidR="009E058B">
        <w:rPr>
          <w:rFonts w:ascii="Arial" w:hAnsi="Arial" w:cs="Arial"/>
          <w:szCs w:val="24"/>
        </w:rPr>
        <w:t>4</w:t>
      </w:r>
    </w:p>
    <w:p w14:paraId="4DDBEF00" w14:textId="77777777" w:rsidR="00905A42" w:rsidRPr="00D6293B" w:rsidRDefault="00905A42" w:rsidP="00802F15">
      <w:pPr>
        <w:pStyle w:val="BodyText"/>
        <w:rPr>
          <w:rFonts w:ascii="Arial" w:hAnsi="Arial" w:cs="Arial"/>
          <w:szCs w:val="24"/>
        </w:rPr>
      </w:pPr>
    </w:p>
    <w:p w14:paraId="258199D4" w14:textId="120C37CA" w:rsidR="00905A42" w:rsidRPr="00D6293B" w:rsidRDefault="00150CC7" w:rsidP="00802F15">
      <w:pPr>
        <w:pStyle w:val="BodyText"/>
        <w:rPr>
          <w:rFonts w:ascii="Arial" w:hAnsi="Arial" w:cs="Arial"/>
          <w:szCs w:val="24"/>
        </w:rPr>
      </w:pPr>
      <w:hyperlink w:anchor="Referencesandsources" w:history="1">
        <w:r w:rsidR="00875ED6" w:rsidRPr="00E57848">
          <w:rPr>
            <w:rStyle w:val="Hyperlink"/>
            <w:rFonts w:ascii="Arial" w:hAnsi="Arial" w:cs="Arial"/>
            <w:szCs w:val="24"/>
          </w:rPr>
          <w:t>References and sources</w:t>
        </w:r>
      </w:hyperlink>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E57848">
        <w:rPr>
          <w:rFonts w:ascii="Arial" w:hAnsi="Arial" w:cs="Arial"/>
          <w:szCs w:val="24"/>
        </w:rPr>
        <w:tab/>
      </w:r>
      <w:r w:rsidR="00E57848">
        <w:rPr>
          <w:rFonts w:ascii="Arial" w:hAnsi="Arial" w:cs="Arial"/>
          <w:szCs w:val="24"/>
        </w:rPr>
        <w:tab/>
      </w:r>
      <w:r w:rsidR="00E57848">
        <w:rPr>
          <w:rFonts w:ascii="Arial" w:hAnsi="Arial" w:cs="Arial"/>
          <w:szCs w:val="24"/>
        </w:rPr>
        <w:tab/>
      </w:r>
      <w:r w:rsidR="009E058B">
        <w:rPr>
          <w:rFonts w:ascii="Arial" w:hAnsi="Arial" w:cs="Arial"/>
          <w:szCs w:val="24"/>
        </w:rPr>
        <w:t>5</w:t>
      </w:r>
    </w:p>
    <w:p w14:paraId="3461D779" w14:textId="77777777" w:rsidR="00905A42" w:rsidRPr="00D6293B" w:rsidRDefault="00905A42" w:rsidP="00802F15">
      <w:pPr>
        <w:pStyle w:val="BodyText"/>
        <w:rPr>
          <w:rFonts w:ascii="Arial" w:hAnsi="Arial" w:cs="Arial"/>
          <w:szCs w:val="24"/>
        </w:rPr>
      </w:pPr>
    </w:p>
    <w:p w14:paraId="5123CFF9" w14:textId="163BD488" w:rsidR="00EC0C8D" w:rsidRDefault="00150CC7" w:rsidP="00802F15">
      <w:pPr>
        <w:pStyle w:val="BodyText"/>
        <w:rPr>
          <w:rFonts w:ascii="Arial" w:hAnsi="Arial" w:cs="Arial"/>
          <w:szCs w:val="24"/>
        </w:rPr>
      </w:pPr>
      <w:hyperlink w:anchor="Equalities" w:history="1">
        <w:r w:rsidR="005562BD" w:rsidRPr="00E57848">
          <w:rPr>
            <w:rStyle w:val="Hyperlink"/>
            <w:rFonts w:ascii="Arial" w:hAnsi="Arial" w:cs="Arial"/>
            <w:szCs w:val="24"/>
          </w:rPr>
          <w:t>Equalities</w:t>
        </w:r>
      </w:hyperlink>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E57848">
        <w:rPr>
          <w:rFonts w:ascii="Arial" w:hAnsi="Arial" w:cs="Arial"/>
          <w:szCs w:val="24"/>
        </w:rPr>
        <w:tab/>
      </w:r>
      <w:r w:rsidR="00E57848">
        <w:rPr>
          <w:rFonts w:ascii="Arial" w:hAnsi="Arial" w:cs="Arial"/>
          <w:szCs w:val="24"/>
        </w:rPr>
        <w:tab/>
      </w:r>
      <w:r w:rsidR="00E57848">
        <w:rPr>
          <w:rFonts w:ascii="Arial" w:hAnsi="Arial" w:cs="Arial"/>
          <w:szCs w:val="24"/>
        </w:rPr>
        <w:tab/>
      </w:r>
      <w:r w:rsidR="009E058B">
        <w:rPr>
          <w:rFonts w:ascii="Arial" w:hAnsi="Arial" w:cs="Arial"/>
          <w:szCs w:val="24"/>
        </w:rPr>
        <w:t>6</w:t>
      </w:r>
    </w:p>
    <w:p w14:paraId="3CF2D8B6" w14:textId="77777777" w:rsidR="00EC0C8D" w:rsidRDefault="00EC0C8D" w:rsidP="00802F15">
      <w:pPr>
        <w:pStyle w:val="BodyText"/>
        <w:rPr>
          <w:rFonts w:ascii="Arial" w:hAnsi="Arial" w:cs="Arial"/>
          <w:szCs w:val="24"/>
        </w:rPr>
      </w:pPr>
    </w:p>
    <w:p w14:paraId="4718601D" w14:textId="2F90BAC5" w:rsidR="00905A42" w:rsidRDefault="00150CC7" w:rsidP="00802F15">
      <w:pPr>
        <w:pStyle w:val="BodyText"/>
        <w:rPr>
          <w:rFonts w:ascii="Arial" w:hAnsi="Arial" w:cs="Arial"/>
          <w:szCs w:val="24"/>
        </w:rPr>
      </w:pPr>
      <w:hyperlink w:anchor="Consultation" w:history="1">
        <w:r w:rsidR="00475C49" w:rsidRPr="00E57848">
          <w:rPr>
            <w:rStyle w:val="Hyperlink"/>
            <w:rFonts w:ascii="Arial" w:hAnsi="Arial" w:cs="Arial"/>
            <w:szCs w:val="24"/>
          </w:rPr>
          <w:t>C</w:t>
        </w:r>
        <w:r w:rsidR="00875ED6" w:rsidRPr="00E57848">
          <w:rPr>
            <w:rStyle w:val="Hyperlink"/>
            <w:rFonts w:ascii="Arial" w:hAnsi="Arial" w:cs="Arial"/>
            <w:szCs w:val="24"/>
          </w:rPr>
          <w:t>onsultation</w:t>
        </w:r>
      </w:hyperlink>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E57848">
        <w:rPr>
          <w:rFonts w:ascii="Arial" w:hAnsi="Arial" w:cs="Arial"/>
          <w:szCs w:val="24"/>
        </w:rPr>
        <w:tab/>
      </w:r>
      <w:r w:rsidR="00E57848">
        <w:rPr>
          <w:rFonts w:ascii="Arial" w:hAnsi="Arial" w:cs="Arial"/>
          <w:szCs w:val="24"/>
        </w:rPr>
        <w:tab/>
      </w:r>
      <w:r w:rsidR="00E57848">
        <w:rPr>
          <w:rFonts w:ascii="Arial" w:hAnsi="Arial" w:cs="Arial"/>
          <w:szCs w:val="24"/>
        </w:rPr>
        <w:tab/>
      </w:r>
      <w:r w:rsidR="009E058B">
        <w:rPr>
          <w:rFonts w:ascii="Arial" w:hAnsi="Arial" w:cs="Arial"/>
          <w:szCs w:val="24"/>
        </w:rPr>
        <w:t>6</w:t>
      </w:r>
    </w:p>
    <w:p w14:paraId="0FB78278" w14:textId="77777777" w:rsidR="008A2DF6" w:rsidRDefault="008A2DF6" w:rsidP="00802F15">
      <w:pPr>
        <w:pStyle w:val="BodyText"/>
        <w:rPr>
          <w:rFonts w:ascii="Arial" w:hAnsi="Arial" w:cs="Arial"/>
          <w:szCs w:val="24"/>
        </w:rPr>
      </w:pPr>
    </w:p>
    <w:p w14:paraId="555A8D13" w14:textId="394A4E94" w:rsidR="008A2DF6" w:rsidRDefault="00150CC7" w:rsidP="008A2DF6">
      <w:pPr>
        <w:pStyle w:val="BodyText"/>
        <w:rPr>
          <w:rFonts w:ascii="Arial" w:hAnsi="Arial" w:cs="Arial"/>
          <w:szCs w:val="24"/>
        </w:rPr>
      </w:pPr>
      <w:hyperlink w:anchor="Monitoringandcompliance" w:history="1">
        <w:r w:rsidR="00875ED6" w:rsidRPr="003D044A">
          <w:rPr>
            <w:rStyle w:val="Hyperlink"/>
            <w:rFonts w:ascii="Arial" w:hAnsi="Arial" w:cs="Arial"/>
            <w:szCs w:val="24"/>
          </w:rPr>
          <w:t>Monitoring and compliance</w:t>
        </w:r>
        <w:r w:rsidR="0049106F" w:rsidRPr="003D044A">
          <w:rPr>
            <w:rStyle w:val="Hyperlink"/>
            <w:rFonts w:ascii="Arial" w:hAnsi="Arial" w:cs="Arial"/>
            <w:szCs w:val="24"/>
          </w:rPr>
          <w:tab/>
        </w:r>
      </w:hyperlink>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E57848">
        <w:rPr>
          <w:rFonts w:ascii="Arial" w:hAnsi="Arial" w:cs="Arial"/>
          <w:szCs w:val="24"/>
        </w:rPr>
        <w:tab/>
      </w:r>
      <w:r w:rsidR="00E57848">
        <w:rPr>
          <w:rFonts w:ascii="Arial" w:hAnsi="Arial" w:cs="Arial"/>
          <w:szCs w:val="24"/>
        </w:rPr>
        <w:tab/>
      </w:r>
      <w:r w:rsidR="00E57848">
        <w:rPr>
          <w:rFonts w:ascii="Arial" w:hAnsi="Arial" w:cs="Arial"/>
          <w:szCs w:val="24"/>
        </w:rPr>
        <w:tab/>
      </w:r>
      <w:r w:rsidR="009E058B">
        <w:rPr>
          <w:rFonts w:ascii="Arial" w:hAnsi="Arial" w:cs="Arial"/>
          <w:szCs w:val="24"/>
        </w:rPr>
        <w:t>6</w:t>
      </w:r>
    </w:p>
    <w:p w14:paraId="1FC39945" w14:textId="77777777" w:rsidR="008A2DF6" w:rsidRPr="0019051C" w:rsidRDefault="008A2DF6" w:rsidP="008A2DF6">
      <w:pPr>
        <w:pStyle w:val="BodyText"/>
        <w:rPr>
          <w:rFonts w:ascii="Arial" w:hAnsi="Arial" w:cs="Arial"/>
          <w:szCs w:val="24"/>
        </w:rPr>
      </w:pPr>
    </w:p>
    <w:p w14:paraId="494FDC15" w14:textId="3108E9AC" w:rsidR="008A2DF6" w:rsidRDefault="00150CC7" w:rsidP="008A2DF6">
      <w:pPr>
        <w:pStyle w:val="BodyText"/>
        <w:rPr>
          <w:rFonts w:ascii="Arial" w:hAnsi="Arial" w:cs="Arial"/>
          <w:szCs w:val="24"/>
        </w:rPr>
      </w:pPr>
      <w:hyperlink w:anchor="Approval" w:history="1">
        <w:r w:rsidR="00875ED6">
          <w:rPr>
            <w:rStyle w:val="Hyperlink"/>
            <w:rFonts w:ascii="Arial" w:hAnsi="Arial" w:cs="Arial"/>
            <w:szCs w:val="24"/>
          </w:rPr>
          <w:t>Approval</w:t>
        </w:r>
      </w:hyperlink>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E57848">
        <w:rPr>
          <w:rFonts w:ascii="Arial" w:hAnsi="Arial" w:cs="Arial"/>
          <w:szCs w:val="24"/>
        </w:rPr>
        <w:tab/>
      </w:r>
      <w:r w:rsidR="00E57848">
        <w:rPr>
          <w:rFonts w:ascii="Arial" w:hAnsi="Arial" w:cs="Arial"/>
          <w:szCs w:val="24"/>
        </w:rPr>
        <w:tab/>
      </w:r>
      <w:r w:rsidR="00E57848">
        <w:rPr>
          <w:rFonts w:ascii="Arial" w:hAnsi="Arial" w:cs="Arial"/>
          <w:szCs w:val="24"/>
        </w:rPr>
        <w:tab/>
      </w:r>
      <w:r w:rsidR="009E058B">
        <w:rPr>
          <w:rFonts w:ascii="Arial" w:hAnsi="Arial" w:cs="Arial"/>
          <w:szCs w:val="24"/>
        </w:rPr>
        <w:t>7</w:t>
      </w:r>
    </w:p>
    <w:p w14:paraId="0562CB0E" w14:textId="77777777" w:rsidR="00C02A6F" w:rsidRDefault="00C02A6F" w:rsidP="008A2DF6">
      <w:pPr>
        <w:pStyle w:val="BodyText"/>
        <w:rPr>
          <w:rFonts w:ascii="Arial" w:hAnsi="Arial" w:cs="Arial"/>
          <w:szCs w:val="24"/>
        </w:rPr>
      </w:pPr>
    </w:p>
    <w:p w14:paraId="709CCDCD" w14:textId="1FEDC6EE" w:rsidR="00C02A6F" w:rsidRDefault="00150CC7" w:rsidP="008A2DF6">
      <w:pPr>
        <w:pStyle w:val="BodyText"/>
        <w:rPr>
          <w:rFonts w:ascii="Arial" w:hAnsi="Arial" w:cs="Arial"/>
          <w:szCs w:val="24"/>
        </w:rPr>
      </w:pPr>
      <w:hyperlink w:anchor="Operationalarrangements" w:history="1">
        <w:r w:rsidR="00B6174D">
          <w:rPr>
            <w:rStyle w:val="Hyperlink"/>
            <w:rFonts w:ascii="Arial" w:hAnsi="Arial" w:cs="Arial"/>
            <w:szCs w:val="24"/>
          </w:rPr>
          <w:t xml:space="preserve">Operational </w:t>
        </w:r>
        <w:r w:rsidR="00CF2D0B">
          <w:rPr>
            <w:rStyle w:val="Hyperlink"/>
            <w:rFonts w:ascii="Arial" w:hAnsi="Arial" w:cs="Arial"/>
            <w:szCs w:val="24"/>
          </w:rPr>
          <w:t>a</w:t>
        </w:r>
        <w:r w:rsidR="00B6174D">
          <w:rPr>
            <w:rStyle w:val="Hyperlink"/>
            <w:rFonts w:ascii="Arial" w:hAnsi="Arial" w:cs="Arial"/>
            <w:szCs w:val="24"/>
          </w:rPr>
          <w:t>rrangements</w:t>
        </w:r>
        <w:r w:rsidR="0049106F" w:rsidRPr="003D044A">
          <w:rPr>
            <w:rStyle w:val="Hyperlink"/>
            <w:rFonts w:ascii="Arial" w:hAnsi="Arial" w:cs="Arial"/>
            <w:szCs w:val="24"/>
          </w:rPr>
          <w:tab/>
        </w:r>
      </w:hyperlink>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49106F">
        <w:rPr>
          <w:rFonts w:ascii="Arial" w:hAnsi="Arial" w:cs="Arial"/>
          <w:szCs w:val="24"/>
        </w:rPr>
        <w:tab/>
      </w:r>
      <w:r w:rsidR="00E57848">
        <w:rPr>
          <w:rFonts w:ascii="Arial" w:hAnsi="Arial" w:cs="Arial"/>
          <w:szCs w:val="24"/>
        </w:rPr>
        <w:tab/>
      </w:r>
      <w:r w:rsidR="00E57848">
        <w:rPr>
          <w:rFonts w:ascii="Arial" w:hAnsi="Arial" w:cs="Arial"/>
          <w:szCs w:val="24"/>
        </w:rPr>
        <w:tab/>
      </w:r>
      <w:r w:rsidR="009E058B">
        <w:rPr>
          <w:rFonts w:ascii="Arial" w:hAnsi="Arial" w:cs="Arial"/>
          <w:szCs w:val="24"/>
        </w:rPr>
        <w:t>7</w:t>
      </w:r>
    </w:p>
    <w:p w14:paraId="34CE0A41" w14:textId="77777777" w:rsidR="00C02A6F" w:rsidRDefault="00C02A6F" w:rsidP="008A2DF6">
      <w:pPr>
        <w:pStyle w:val="BodyText"/>
        <w:rPr>
          <w:rFonts w:ascii="Arial" w:hAnsi="Arial" w:cs="Arial"/>
          <w:szCs w:val="24"/>
        </w:rPr>
      </w:pPr>
    </w:p>
    <w:p w14:paraId="6703FB9B" w14:textId="5D9DDA98" w:rsidR="000B505E" w:rsidRDefault="00150CC7" w:rsidP="00DC14B3">
      <w:pPr>
        <w:pStyle w:val="Default"/>
      </w:pPr>
      <w:hyperlink w:anchor="Accesstohousing" w:history="1">
        <w:r w:rsidR="00F276B9" w:rsidRPr="00A26CB0">
          <w:rPr>
            <w:rStyle w:val="Hyperlink"/>
          </w:rPr>
          <w:t>Access to housing</w:t>
        </w:r>
      </w:hyperlink>
      <w:r w:rsidR="009E058B">
        <w:tab/>
      </w:r>
      <w:r w:rsidR="009E058B">
        <w:tab/>
      </w:r>
      <w:r w:rsidR="009E058B">
        <w:tab/>
      </w:r>
      <w:r w:rsidR="009E058B">
        <w:tab/>
      </w:r>
      <w:r w:rsidR="009E058B">
        <w:tab/>
      </w:r>
      <w:r w:rsidR="009E058B">
        <w:tab/>
      </w:r>
      <w:r w:rsidR="009E058B">
        <w:tab/>
      </w:r>
      <w:r w:rsidR="009E058B">
        <w:tab/>
      </w:r>
      <w:r w:rsidR="009E058B">
        <w:tab/>
        <w:t>7</w:t>
      </w:r>
    </w:p>
    <w:p w14:paraId="408BDEAC" w14:textId="50EA5648" w:rsidR="00F276B9" w:rsidRDefault="00F276B9" w:rsidP="00DC14B3">
      <w:pPr>
        <w:pStyle w:val="Default"/>
      </w:pPr>
    </w:p>
    <w:p w14:paraId="48FCF447" w14:textId="159059D4" w:rsidR="00F276B9" w:rsidRDefault="00150CC7" w:rsidP="00DC14B3">
      <w:pPr>
        <w:pStyle w:val="Default"/>
      </w:pPr>
      <w:hyperlink w:anchor="LocalLettingsPlansStrategies" w:history="1">
        <w:r w:rsidR="00F276B9" w:rsidRPr="00A26CB0">
          <w:rPr>
            <w:rStyle w:val="Hyperlink"/>
          </w:rPr>
          <w:t>Local Lettings Plans</w:t>
        </w:r>
        <w:r w:rsidR="009E058B" w:rsidRPr="00A26CB0">
          <w:rPr>
            <w:rStyle w:val="Hyperlink"/>
          </w:rPr>
          <w:tab/>
        </w:r>
        <w:r w:rsidR="00B64B81" w:rsidRPr="00A26CB0">
          <w:rPr>
            <w:rStyle w:val="Hyperlink"/>
          </w:rPr>
          <w:t>/Strategies</w:t>
        </w:r>
      </w:hyperlink>
      <w:r w:rsidR="009E058B">
        <w:tab/>
      </w:r>
      <w:r w:rsidR="009E058B">
        <w:tab/>
      </w:r>
      <w:r w:rsidR="009E058B">
        <w:tab/>
      </w:r>
      <w:r w:rsidR="009E058B">
        <w:tab/>
      </w:r>
      <w:r w:rsidR="009E058B">
        <w:tab/>
      </w:r>
      <w:r w:rsidR="009E058B">
        <w:tab/>
      </w:r>
      <w:r w:rsidR="009E058B">
        <w:tab/>
        <w:t>8</w:t>
      </w:r>
    </w:p>
    <w:p w14:paraId="186B2465" w14:textId="6160013E" w:rsidR="00F276B9" w:rsidRDefault="00F276B9" w:rsidP="00DC14B3">
      <w:pPr>
        <w:pStyle w:val="Default"/>
      </w:pPr>
    </w:p>
    <w:p w14:paraId="33892B20" w14:textId="0FAB5847" w:rsidR="00233DDD" w:rsidRDefault="00150CC7" w:rsidP="00DC14B3">
      <w:pPr>
        <w:pStyle w:val="Default"/>
      </w:pPr>
      <w:hyperlink w:anchor="Lettingsareas" w:history="1">
        <w:r w:rsidR="00233DDD" w:rsidRPr="00A26CB0">
          <w:rPr>
            <w:rStyle w:val="Hyperlink"/>
          </w:rPr>
          <w:t>Lettings areas</w:t>
        </w:r>
      </w:hyperlink>
      <w:r w:rsidR="009E058B">
        <w:tab/>
      </w:r>
      <w:r w:rsidR="009E058B">
        <w:tab/>
      </w:r>
      <w:r w:rsidR="009E058B">
        <w:tab/>
      </w:r>
      <w:r w:rsidR="009E058B">
        <w:tab/>
      </w:r>
      <w:r w:rsidR="009E058B">
        <w:tab/>
      </w:r>
      <w:r w:rsidR="009E058B">
        <w:tab/>
      </w:r>
      <w:r w:rsidR="009E058B">
        <w:tab/>
      </w:r>
      <w:r w:rsidR="009E058B">
        <w:tab/>
      </w:r>
      <w:r w:rsidR="009E058B">
        <w:tab/>
        <w:t>9</w:t>
      </w:r>
    </w:p>
    <w:p w14:paraId="5E9FC49A" w14:textId="77777777" w:rsidR="00233DDD" w:rsidRDefault="00233DDD" w:rsidP="00DC14B3">
      <w:pPr>
        <w:pStyle w:val="Default"/>
      </w:pPr>
    </w:p>
    <w:p w14:paraId="3B1C9D76" w14:textId="222717B2" w:rsidR="00F276B9" w:rsidRDefault="00150CC7" w:rsidP="00DC14B3">
      <w:pPr>
        <w:pStyle w:val="Default"/>
      </w:pPr>
      <w:hyperlink w:anchor="Banding" w:history="1">
        <w:r w:rsidR="00F276B9" w:rsidRPr="00A26CB0">
          <w:rPr>
            <w:rStyle w:val="Hyperlink"/>
          </w:rPr>
          <w:t>Banding</w:t>
        </w:r>
      </w:hyperlink>
      <w:r w:rsidR="009E058B">
        <w:tab/>
      </w:r>
      <w:r w:rsidR="009E058B">
        <w:tab/>
      </w:r>
      <w:r w:rsidR="009E058B">
        <w:tab/>
      </w:r>
      <w:r w:rsidR="009E058B">
        <w:tab/>
      </w:r>
      <w:r w:rsidR="009E058B">
        <w:tab/>
      </w:r>
      <w:r w:rsidR="009E058B">
        <w:tab/>
      </w:r>
      <w:r w:rsidR="009E058B">
        <w:tab/>
      </w:r>
      <w:r w:rsidR="009E058B">
        <w:tab/>
      </w:r>
      <w:r w:rsidR="009E058B">
        <w:tab/>
      </w:r>
      <w:r w:rsidR="009E058B">
        <w:tab/>
        <w:t>9</w:t>
      </w:r>
    </w:p>
    <w:p w14:paraId="48903D5D" w14:textId="608F0248" w:rsidR="00F276B9" w:rsidRDefault="00F276B9" w:rsidP="00DC14B3">
      <w:pPr>
        <w:pStyle w:val="Default"/>
      </w:pPr>
    </w:p>
    <w:p w14:paraId="69577AC4" w14:textId="06D06063" w:rsidR="00F276B9" w:rsidRDefault="00150CC7" w:rsidP="00DC14B3">
      <w:pPr>
        <w:pStyle w:val="Default"/>
      </w:pPr>
      <w:hyperlink w:anchor="Nonstandardselections" w:history="1">
        <w:proofErr w:type="spellStart"/>
        <w:r w:rsidR="00F276B9" w:rsidRPr="00A26CB0">
          <w:rPr>
            <w:rStyle w:val="Hyperlink"/>
          </w:rPr>
          <w:t>Non standard</w:t>
        </w:r>
        <w:proofErr w:type="spellEnd"/>
        <w:r w:rsidR="00F276B9" w:rsidRPr="00A26CB0">
          <w:rPr>
            <w:rStyle w:val="Hyperlink"/>
          </w:rPr>
          <w:t xml:space="preserve"> selections</w:t>
        </w:r>
      </w:hyperlink>
      <w:r w:rsidR="009E058B">
        <w:tab/>
      </w:r>
      <w:r w:rsidR="009E058B">
        <w:tab/>
      </w:r>
      <w:r w:rsidR="009E058B">
        <w:tab/>
      </w:r>
      <w:r w:rsidR="009E058B">
        <w:tab/>
      </w:r>
      <w:r w:rsidR="009E058B">
        <w:tab/>
      </w:r>
      <w:r w:rsidR="009E058B">
        <w:tab/>
      </w:r>
      <w:r w:rsidR="009E058B">
        <w:tab/>
      </w:r>
      <w:r w:rsidR="009E058B">
        <w:tab/>
        <w:t>9</w:t>
      </w:r>
    </w:p>
    <w:p w14:paraId="79A47175" w14:textId="34A18C58" w:rsidR="00F276B9" w:rsidRDefault="00F276B9" w:rsidP="00DC14B3">
      <w:pPr>
        <w:pStyle w:val="Default"/>
      </w:pPr>
    </w:p>
    <w:p w14:paraId="3491D9AC" w14:textId="37E0940A" w:rsidR="00F276B9" w:rsidRDefault="00150CC7" w:rsidP="00DC14B3">
      <w:pPr>
        <w:pStyle w:val="Default"/>
      </w:pPr>
      <w:hyperlink w:anchor="Informationforapplicants" w:history="1">
        <w:r w:rsidR="00F276B9" w:rsidRPr="00A26CB0">
          <w:rPr>
            <w:rStyle w:val="Hyperlink"/>
          </w:rPr>
          <w:t>Information for applicants</w:t>
        </w:r>
      </w:hyperlink>
      <w:r w:rsidR="009E058B">
        <w:tab/>
      </w:r>
      <w:r w:rsidR="009E058B">
        <w:tab/>
      </w:r>
      <w:r w:rsidR="009E058B">
        <w:tab/>
      </w:r>
      <w:r w:rsidR="009E058B">
        <w:tab/>
      </w:r>
      <w:r w:rsidR="009E058B">
        <w:tab/>
      </w:r>
      <w:r w:rsidR="009E058B">
        <w:tab/>
      </w:r>
      <w:r w:rsidR="009E058B">
        <w:tab/>
      </w:r>
      <w:r w:rsidR="009E058B">
        <w:tab/>
        <w:t>10</w:t>
      </w:r>
    </w:p>
    <w:p w14:paraId="308F1D18" w14:textId="7D5BE381" w:rsidR="00F276B9" w:rsidRDefault="00F276B9" w:rsidP="00DC14B3">
      <w:pPr>
        <w:pStyle w:val="Default"/>
      </w:pPr>
    </w:p>
    <w:p w14:paraId="4933B822" w14:textId="237DA25B" w:rsidR="00F276B9" w:rsidRDefault="00150CC7" w:rsidP="00DC14B3">
      <w:pPr>
        <w:pStyle w:val="Default"/>
      </w:pPr>
      <w:hyperlink w:anchor="Suspensions" w:history="1">
        <w:r w:rsidR="00F276B9" w:rsidRPr="00A26CB0">
          <w:rPr>
            <w:rStyle w:val="Hyperlink"/>
          </w:rPr>
          <w:t>Suspensions</w:t>
        </w:r>
      </w:hyperlink>
      <w:r w:rsidR="009E058B">
        <w:tab/>
      </w:r>
      <w:r w:rsidR="009E058B">
        <w:tab/>
      </w:r>
      <w:r w:rsidR="009E058B">
        <w:tab/>
      </w:r>
      <w:r w:rsidR="009E058B">
        <w:tab/>
      </w:r>
      <w:r w:rsidR="009E058B">
        <w:tab/>
      </w:r>
      <w:r w:rsidR="009E058B">
        <w:tab/>
      </w:r>
      <w:r w:rsidR="009E058B">
        <w:tab/>
      </w:r>
      <w:r w:rsidR="009E058B">
        <w:tab/>
      </w:r>
      <w:r w:rsidR="009E058B">
        <w:tab/>
      </w:r>
      <w:r w:rsidR="009E058B">
        <w:tab/>
        <w:t>10</w:t>
      </w:r>
    </w:p>
    <w:p w14:paraId="09F3AB95" w14:textId="640A1BBD" w:rsidR="00F276B9" w:rsidRDefault="00F276B9" w:rsidP="00DC14B3">
      <w:pPr>
        <w:pStyle w:val="Default"/>
      </w:pPr>
    </w:p>
    <w:p w14:paraId="72D70CBB" w14:textId="70862DB7" w:rsidR="00F276B9" w:rsidRDefault="00150CC7" w:rsidP="00DC14B3">
      <w:pPr>
        <w:pStyle w:val="Default"/>
      </w:pPr>
      <w:hyperlink w:anchor="Nominationsandreferrals" w:history="1">
        <w:r w:rsidR="00F276B9" w:rsidRPr="00293ED1">
          <w:rPr>
            <w:rStyle w:val="Hyperlink"/>
          </w:rPr>
          <w:t>Nominations and referrals</w:t>
        </w:r>
      </w:hyperlink>
      <w:r w:rsidR="009E058B">
        <w:tab/>
      </w:r>
      <w:r w:rsidR="009E058B">
        <w:tab/>
      </w:r>
      <w:r w:rsidR="009E058B">
        <w:tab/>
      </w:r>
      <w:r w:rsidR="009E058B">
        <w:tab/>
      </w:r>
      <w:r w:rsidR="009E058B">
        <w:tab/>
      </w:r>
      <w:r w:rsidR="009E058B">
        <w:tab/>
      </w:r>
      <w:r w:rsidR="009E058B">
        <w:tab/>
      </w:r>
      <w:r w:rsidR="009E058B">
        <w:tab/>
        <w:t>12</w:t>
      </w:r>
    </w:p>
    <w:p w14:paraId="50C2C6E2" w14:textId="5B54B599" w:rsidR="00F276B9" w:rsidRDefault="00F276B9" w:rsidP="00DC14B3">
      <w:pPr>
        <w:pStyle w:val="Default"/>
      </w:pPr>
    </w:p>
    <w:p w14:paraId="5BC7A531" w14:textId="707CC4DC" w:rsidR="00F276B9" w:rsidRDefault="00150CC7" w:rsidP="00DC14B3">
      <w:pPr>
        <w:pStyle w:val="Default"/>
      </w:pPr>
      <w:hyperlink w:anchor="Housetypesandsizestobeallocated" w:history="1">
        <w:r w:rsidR="00F276B9" w:rsidRPr="00293ED1">
          <w:rPr>
            <w:rStyle w:val="Hyperlink"/>
          </w:rPr>
          <w:t>House types and sizes to be allocated</w:t>
        </w:r>
      </w:hyperlink>
      <w:r w:rsidR="009E058B">
        <w:tab/>
      </w:r>
      <w:r w:rsidR="009E058B">
        <w:tab/>
      </w:r>
      <w:r w:rsidR="009E058B">
        <w:tab/>
      </w:r>
      <w:r w:rsidR="009E058B">
        <w:tab/>
      </w:r>
      <w:r w:rsidR="009E058B">
        <w:tab/>
      </w:r>
      <w:r w:rsidR="009E058B">
        <w:tab/>
        <w:t>13</w:t>
      </w:r>
    </w:p>
    <w:p w14:paraId="76D8A3CB" w14:textId="70109B74" w:rsidR="00F276B9" w:rsidRDefault="00F276B9" w:rsidP="00DC14B3">
      <w:pPr>
        <w:pStyle w:val="Default"/>
      </w:pPr>
    </w:p>
    <w:p w14:paraId="4828A2F5" w14:textId="3C929115" w:rsidR="00F276B9" w:rsidRDefault="00150CC7" w:rsidP="00DC14B3">
      <w:pPr>
        <w:pStyle w:val="Default"/>
      </w:pPr>
      <w:hyperlink w:anchor="TheBandingSystem" w:history="1">
        <w:r w:rsidR="00F276B9" w:rsidRPr="00293ED1">
          <w:rPr>
            <w:rStyle w:val="Hyperlink"/>
          </w:rPr>
          <w:t xml:space="preserve">The </w:t>
        </w:r>
        <w:r w:rsidR="005F4AB0" w:rsidRPr="00293ED1">
          <w:rPr>
            <w:rStyle w:val="Hyperlink"/>
          </w:rPr>
          <w:t>B</w:t>
        </w:r>
        <w:r w:rsidR="00F276B9" w:rsidRPr="00293ED1">
          <w:rPr>
            <w:rStyle w:val="Hyperlink"/>
          </w:rPr>
          <w:t xml:space="preserve">anding </w:t>
        </w:r>
        <w:r w:rsidR="005F4AB0" w:rsidRPr="00293ED1">
          <w:rPr>
            <w:rStyle w:val="Hyperlink"/>
          </w:rPr>
          <w:t>S</w:t>
        </w:r>
        <w:r w:rsidR="00F276B9" w:rsidRPr="00293ED1">
          <w:rPr>
            <w:rStyle w:val="Hyperlink"/>
          </w:rPr>
          <w:t>ystem</w:t>
        </w:r>
      </w:hyperlink>
      <w:r w:rsidR="009E058B">
        <w:tab/>
      </w:r>
      <w:r w:rsidR="009E058B">
        <w:tab/>
      </w:r>
      <w:r w:rsidR="009E058B">
        <w:tab/>
      </w:r>
      <w:r w:rsidR="009E058B">
        <w:tab/>
      </w:r>
      <w:r w:rsidR="009E058B">
        <w:tab/>
      </w:r>
      <w:r w:rsidR="009E058B">
        <w:tab/>
      </w:r>
      <w:r w:rsidR="009E058B">
        <w:tab/>
      </w:r>
      <w:r w:rsidR="009E058B">
        <w:tab/>
        <w:t>15</w:t>
      </w:r>
    </w:p>
    <w:p w14:paraId="16815D24" w14:textId="7BDEED17" w:rsidR="00F276B9" w:rsidRDefault="00F276B9" w:rsidP="00DC14B3">
      <w:pPr>
        <w:pStyle w:val="Default"/>
      </w:pPr>
    </w:p>
    <w:p w14:paraId="323A8258" w14:textId="1C48259E" w:rsidR="00F276B9" w:rsidRDefault="00150CC7" w:rsidP="00DC14B3">
      <w:pPr>
        <w:pStyle w:val="Default"/>
      </w:pPr>
      <w:hyperlink w:anchor="Respondingtoapplicants" w:history="1">
        <w:r w:rsidR="00F276B9" w:rsidRPr="00293ED1">
          <w:rPr>
            <w:rStyle w:val="Hyperlink"/>
          </w:rPr>
          <w:t>Responding to applicants</w:t>
        </w:r>
      </w:hyperlink>
      <w:r w:rsidR="009E058B">
        <w:tab/>
      </w:r>
      <w:r w:rsidR="009E058B">
        <w:tab/>
      </w:r>
      <w:r w:rsidR="009E058B">
        <w:tab/>
      </w:r>
      <w:r w:rsidR="009E058B">
        <w:tab/>
      </w:r>
      <w:r w:rsidR="009E058B">
        <w:tab/>
      </w:r>
      <w:r w:rsidR="009E058B">
        <w:tab/>
      </w:r>
      <w:r w:rsidR="009E058B">
        <w:tab/>
      </w:r>
      <w:r w:rsidR="009E058B">
        <w:tab/>
        <w:t>19</w:t>
      </w:r>
    </w:p>
    <w:p w14:paraId="5062CCF8" w14:textId="795E149E" w:rsidR="00F276B9" w:rsidRDefault="00F276B9" w:rsidP="00DC14B3">
      <w:pPr>
        <w:pStyle w:val="Default"/>
      </w:pPr>
    </w:p>
    <w:p w14:paraId="2949D907" w14:textId="286FA256" w:rsidR="00F276B9" w:rsidRDefault="00150CC7" w:rsidP="00DC14B3">
      <w:pPr>
        <w:pStyle w:val="Default"/>
      </w:pPr>
      <w:hyperlink w:anchor="Makingreceivingacceptingandrefusinganoff" w:history="1">
        <w:r w:rsidR="00F276B9" w:rsidRPr="00293ED1">
          <w:rPr>
            <w:rStyle w:val="Hyperlink"/>
          </w:rPr>
          <w:t>Making, receiving, accepting and refusing an offer of housing</w:t>
        </w:r>
      </w:hyperlink>
      <w:r w:rsidR="009E058B">
        <w:tab/>
      </w:r>
      <w:r w:rsidR="009E058B">
        <w:tab/>
      </w:r>
      <w:r w:rsidR="009E058B">
        <w:tab/>
      </w:r>
      <w:r w:rsidR="00A26CB0">
        <w:t>19</w:t>
      </w:r>
    </w:p>
    <w:p w14:paraId="56364CA2" w14:textId="7C26B5DE" w:rsidR="00F276B9" w:rsidRDefault="00F276B9" w:rsidP="00DC14B3">
      <w:pPr>
        <w:pStyle w:val="Default"/>
      </w:pPr>
    </w:p>
    <w:p w14:paraId="741C0FBD" w14:textId="4C9D25B8" w:rsidR="00F276B9" w:rsidRDefault="00150CC7" w:rsidP="00DC14B3">
      <w:pPr>
        <w:pStyle w:val="Default"/>
      </w:pPr>
      <w:hyperlink w:anchor="Confirmationofcircumstances" w:history="1">
        <w:r w:rsidR="00F276B9" w:rsidRPr="00293ED1">
          <w:rPr>
            <w:rStyle w:val="Hyperlink"/>
          </w:rPr>
          <w:t>Confirmation of circumstances</w:t>
        </w:r>
      </w:hyperlink>
      <w:r w:rsidR="009E058B">
        <w:tab/>
      </w:r>
      <w:r w:rsidR="009E058B">
        <w:tab/>
      </w:r>
      <w:r w:rsidR="009E058B">
        <w:tab/>
      </w:r>
      <w:r w:rsidR="009E058B">
        <w:tab/>
      </w:r>
      <w:r w:rsidR="009E058B">
        <w:tab/>
      </w:r>
      <w:r w:rsidR="009E058B">
        <w:tab/>
      </w:r>
      <w:r w:rsidR="009E058B">
        <w:tab/>
        <w:t>20</w:t>
      </w:r>
    </w:p>
    <w:p w14:paraId="5783460F" w14:textId="62239CB7" w:rsidR="00F276B9" w:rsidRDefault="00F276B9" w:rsidP="00DC14B3">
      <w:pPr>
        <w:pStyle w:val="Default"/>
      </w:pPr>
    </w:p>
    <w:p w14:paraId="0B400E92" w14:textId="39F7A6E6" w:rsidR="00F276B9" w:rsidRDefault="00150CC7" w:rsidP="00DC14B3">
      <w:pPr>
        <w:pStyle w:val="Default"/>
      </w:pPr>
      <w:hyperlink w:anchor="Reviewofapplications" w:history="1">
        <w:r w:rsidR="00F276B9" w:rsidRPr="00293ED1">
          <w:rPr>
            <w:rStyle w:val="Hyperlink"/>
          </w:rPr>
          <w:t>Review of applications</w:t>
        </w:r>
      </w:hyperlink>
      <w:r w:rsidR="009E058B">
        <w:tab/>
      </w:r>
      <w:r w:rsidR="009E058B">
        <w:tab/>
      </w:r>
      <w:r w:rsidR="009E058B">
        <w:tab/>
      </w:r>
      <w:r w:rsidR="009E058B">
        <w:tab/>
      </w:r>
      <w:r w:rsidR="009E058B">
        <w:tab/>
      </w:r>
      <w:r w:rsidR="009E058B">
        <w:tab/>
      </w:r>
      <w:r w:rsidR="009E058B">
        <w:tab/>
      </w:r>
      <w:r w:rsidR="009E058B">
        <w:tab/>
        <w:t>2</w:t>
      </w:r>
      <w:r w:rsidR="00A26CB0">
        <w:t>0</w:t>
      </w:r>
    </w:p>
    <w:p w14:paraId="248C043F" w14:textId="2A8B98F7" w:rsidR="00F276B9" w:rsidRDefault="00F276B9" w:rsidP="00DC14B3">
      <w:pPr>
        <w:pStyle w:val="Default"/>
      </w:pPr>
    </w:p>
    <w:p w14:paraId="4877F86C" w14:textId="336A11A4" w:rsidR="00F276B9" w:rsidRDefault="00150CC7" w:rsidP="00DC14B3">
      <w:pPr>
        <w:pStyle w:val="Default"/>
      </w:pPr>
      <w:hyperlink w:anchor="Changeofcircumstances" w:history="1">
        <w:r w:rsidR="00F276B9" w:rsidRPr="00293ED1">
          <w:rPr>
            <w:rStyle w:val="Hyperlink"/>
          </w:rPr>
          <w:t>Change of circumstances</w:t>
        </w:r>
      </w:hyperlink>
      <w:r w:rsidR="009E058B">
        <w:tab/>
      </w:r>
      <w:r w:rsidR="009E058B">
        <w:tab/>
      </w:r>
      <w:r w:rsidR="009E058B">
        <w:tab/>
      </w:r>
      <w:r w:rsidR="009E058B">
        <w:tab/>
      </w:r>
      <w:r w:rsidR="009E058B">
        <w:tab/>
      </w:r>
      <w:r w:rsidR="009E058B">
        <w:tab/>
      </w:r>
      <w:r w:rsidR="009E058B">
        <w:tab/>
      </w:r>
      <w:r w:rsidR="009E058B">
        <w:tab/>
        <w:t>21</w:t>
      </w:r>
    </w:p>
    <w:p w14:paraId="528B551C" w14:textId="464CF374" w:rsidR="00F276B9" w:rsidRDefault="00F276B9" w:rsidP="00DC14B3">
      <w:pPr>
        <w:pStyle w:val="Default"/>
      </w:pPr>
    </w:p>
    <w:p w14:paraId="112492A5" w14:textId="538DBA3F" w:rsidR="00F276B9" w:rsidRDefault="00150CC7" w:rsidP="00DC14B3">
      <w:pPr>
        <w:pStyle w:val="Default"/>
      </w:pPr>
      <w:hyperlink w:anchor="Cancellationofapplications" w:history="1">
        <w:r w:rsidR="00F276B9" w:rsidRPr="00293ED1">
          <w:rPr>
            <w:rStyle w:val="Hyperlink"/>
          </w:rPr>
          <w:t>Cancellation of applications</w:t>
        </w:r>
      </w:hyperlink>
      <w:r w:rsidR="009E058B">
        <w:tab/>
      </w:r>
      <w:r w:rsidR="009E058B">
        <w:tab/>
      </w:r>
      <w:r w:rsidR="009E058B">
        <w:tab/>
      </w:r>
      <w:r w:rsidR="009E058B">
        <w:tab/>
      </w:r>
      <w:r w:rsidR="009E058B">
        <w:tab/>
      </w:r>
      <w:r w:rsidR="009E058B">
        <w:tab/>
      </w:r>
      <w:r w:rsidR="009E058B">
        <w:tab/>
        <w:t>2</w:t>
      </w:r>
      <w:r w:rsidR="00A26CB0">
        <w:t>1</w:t>
      </w:r>
    </w:p>
    <w:p w14:paraId="1CFD6633" w14:textId="404683AD" w:rsidR="00F276B9" w:rsidRDefault="00F276B9" w:rsidP="00DC14B3">
      <w:pPr>
        <w:pStyle w:val="Default"/>
      </w:pPr>
    </w:p>
    <w:p w14:paraId="19C3A421" w14:textId="5FBC174B" w:rsidR="004F6860" w:rsidRPr="00293ED1" w:rsidRDefault="00293ED1" w:rsidP="00DC14B3">
      <w:pPr>
        <w:pStyle w:val="Default"/>
        <w:rPr>
          <w:rStyle w:val="Hyperlink"/>
        </w:rPr>
      </w:pPr>
      <w:r>
        <w:fldChar w:fldCharType="begin"/>
      </w:r>
      <w:r>
        <w:instrText xml:space="preserve"> HYPERLINK  \l "Grantingoftenancies" </w:instrText>
      </w:r>
      <w:r>
        <w:fldChar w:fldCharType="separate"/>
      </w:r>
      <w:r w:rsidR="00F276B9" w:rsidRPr="00293ED1">
        <w:rPr>
          <w:rStyle w:val="Hyperlink"/>
        </w:rPr>
        <w:t xml:space="preserve">Granting of tenancies to employees, governing body members </w:t>
      </w:r>
      <w:r w:rsidR="004F6860" w:rsidRPr="00293ED1">
        <w:rPr>
          <w:rStyle w:val="Hyperlink"/>
          <w:u w:val="none"/>
        </w:rPr>
        <w:tab/>
      </w:r>
      <w:r>
        <w:rPr>
          <w:rStyle w:val="Hyperlink"/>
          <w:u w:val="none"/>
        </w:rPr>
        <w:tab/>
      </w:r>
      <w:r w:rsidRPr="00293ED1">
        <w:rPr>
          <w:rStyle w:val="Hyperlink"/>
          <w:color w:val="auto"/>
          <w:u w:val="none"/>
        </w:rPr>
        <w:t>2</w:t>
      </w:r>
      <w:r w:rsidR="00C61204">
        <w:rPr>
          <w:rStyle w:val="Hyperlink"/>
          <w:color w:val="auto"/>
          <w:u w:val="none"/>
        </w:rPr>
        <w:t>1</w:t>
      </w:r>
      <w:r w:rsidR="004F6860" w:rsidRPr="00293ED1">
        <w:rPr>
          <w:rStyle w:val="Hyperlink"/>
          <w:u w:val="none"/>
        </w:rPr>
        <w:tab/>
      </w:r>
    </w:p>
    <w:p w14:paraId="18C8F878" w14:textId="77777777" w:rsidR="004F6860" w:rsidRPr="00293ED1" w:rsidRDefault="00F276B9" w:rsidP="00DC14B3">
      <w:pPr>
        <w:pStyle w:val="Default"/>
        <w:rPr>
          <w:rStyle w:val="Hyperlink"/>
        </w:rPr>
      </w:pPr>
      <w:r w:rsidRPr="00293ED1">
        <w:rPr>
          <w:rStyle w:val="Hyperlink"/>
        </w:rPr>
        <w:t xml:space="preserve">and relatives of persons connected with </w:t>
      </w:r>
    </w:p>
    <w:p w14:paraId="6C3652D2" w14:textId="28C93FB9" w:rsidR="00F276B9" w:rsidRDefault="001F2B8F" w:rsidP="00DC14B3">
      <w:pPr>
        <w:pStyle w:val="Default"/>
      </w:pPr>
      <w:r w:rsidRPr="00293ED1">
        <w:rPr>
          <w:rStyle w:val="Hyperlink"/>
        </w:rPr>
        <w:t>West of Scotland Housing Association</w:t>
      </w:r>
      <w:r w:rsidR="00293ED1">
        <w:fldChar w:fldCharType="end"/>
      </w:r>
    </w:p>
    <w:p w14:paraId="09334F66" w14:textId="1079C0EB" w:rsidR="001F2B8F" w:rsidRDefault="001F2B8F" w:rsidP="00DC14B3">
      <w:pPr>
        <w:pStyle w:val="Default"/>
      </w:pPr>
    </w:p>
    <w:p w14:paraId="29EAA813" w14:textId="3E191227" w:rsidR="001F2B8F" w:rsidRDefault="00150CC7" w:rsidP="00DC14B3">
      <w:pPr>
        <w:pStyle w:val="Default"/>
      </w:pPr>
      <w:hyperlink w:anchor="HighRiskOffenders" w:history="1">
        <w:r w:rsidR="001F2B8F" w:rsidRPr="00293ED1">
          <w:rPr>
            <w:rStyle w:val="Hyperlink"/>
          </w:rPr>
          <w:t>High risk offenders</w:t>
        </w:r>
      </w:hyperlink>
      <w:r w:rsidR="004F6860">
        <w:tab/>
      </w:r>
      <w:r w:rsidR="004F6860">
        <w:tab/>
      </w:r>
      <w:r w:rsidR="004F6860">
        <w:tab/>
      </w:r>
      <w:r w:rsidR="004F6860">
        <w:tab/>
      </w:r>
      <w:r w:rsidR="004F6860">
        <w:tab/>
      </w:r>
      <w:r w:rsidR="004F6860">
        <w:tab/>
      </w:r>
      <w:r w:rsidR="004F6860">
        <w:tab/>
      </w:r>
      <w:r w:rsidR="004F6860">
        <w:tab/>
      </w:r>
      <w:r w:rsidR="004F6860">
        <w:tab/>
        <w:t>22</w:t>
      </w:r>
    </w:p>
    <w:p w14:paraId="09E888C8" w14:textId="38D40FA3" w:rsidR="001F2B8F" w:rsidRDefault="001F2B8F" w:rsidP="00DC14B3">
      <w:pPr>
        <w:pStyle w:val="Default"/>
      </w:pPr>
    </w:p>
    <w:p w14:paraId="3A68B5C9" w14:textId="195BB252" w:rsidR="001F2B8F" w:rsidRDefault="00150CC7" w:rsidP="00DC14B3">
      <w:pPr>
        <w:pStyle w:val="Default"/>
      </w:pPr>
      <w:hyperlink w:anchor="TenanciesGranted" w:history="1">
        <w:r w:rsidR="001F2B8F" w:rsidRPr="00293ED1">
          <w:rPr>
            <w:rStyle w:val="Hyperlink"/>
          </w:rPr>
          <w:t>Tenancies granted</w:t>
        </w:r>
      </w:hyperlink>
      <w:r w:rsidR="004F6860">
        <w:tab/>
      </w:r>
      <w:r w:rsidR="004F6860">
        <w:tab/>
      </w:r>
      <w:r w:rsidR="004F6860">
        <w:tab/>
      </w:r>
      <w:r w:rsidR="004F6860">
        <w:tab/>
      </w:r>
      <w:r w:rsidR="004F6860">
        <w:tab/>
      </w:r>
      <w:r w:rsidR="004F6860">
        <w:tab/>
      </w:r>
      <w:r w:rsidR="004F6860">
        <w:tab/>
      </w:r>
      <w:r w:rsidR="004F6860">
        <w:tab/>
      </w:r>
      <w:r w:rsidR="004F6860">
        <w:tab/>
        <w:t>22</w:t>
      </w:r>
    </w:p>
    <w:p w14:paraId="410AADF2" w14:textId="51BFF2EE" w:rsidR="001F2B8F" w:rsidRDefault="001F2B8F" w:rsidP="00DC14B3">
      <w:pPr>
        <w:pStyle w:val="Default"/>
      </w:pPr>
    </w:p>
    <w:p w14:paraId="4BD78261" w14:textId="13FB17DA" w:rsidR="001F2B8F" w:rsidRDefault="00150CC7" w:rsidP="00DC14B3">
      <w:pPr>
        <w:pStyle w:val="Default"/>
      </w:pPr>
      <w:hyperlink w:anchor="MutualExchanges" w:history="1">
        <w:r w:rsidR="001F2B8F" w:rsidRPr="00293ED1">
          <w:rPr>
            <w:rStyle w:val="Hyperlink"/>
          </w:rPr>
          <w:t>Mutual exchanges</w:t>
        </w:r>
      </w:hyperlink>
      <w:r w:rsidR="004F6860">
        <w:tab/>
      </w:r>
      <w:r w:rsidR="004F6860">
        <w:tab/>
      </w:r>
      <w:r w:rsidR="004F6860">
        <w:tab/>
      </w:r>
      <w:r w:rsidR="004F6860">
        <w:tab/>
      </w:r>
      <w:r w:rsidR="004F6860">
        <w:tab/>
      </w:r>
      <w:r w:rsidR="004F6860">
        <w:tab/>
      </w:r>
      <w:r w:rsidR="004F6860">
        <w:tab/>
      </w:r>
      <w:r w:rsidR="004F6860">
        <w:tab/>
      </w:r>
      <w:r w:rsidR="004F6860">
        <w:tab/>
        <w:t>2</w:t>
      </w:r>
      <w:r w:rsidR="00A26CB0">
        <w:t>2</w:t>
      </w:r>
    </w:p>
    <w:p w14:paraId="76336265" w14:textId="2C52A31F" w:rsidR="001F2B8F" w:rsidRDefault="001F2B8F" w:rsidP="00DC14B3">
      <w:pPr>
        <w:pStyle w:val="Default"/>
      </w:pPr>
    </w:p>
    <w:p w14:paraId="79489B6C" w14:textId="62F47E59" w:rsidR="001F2B8F" w:rsidRDefault="00150CC7" w:rsidP="00DC14B3">
      <w:pPr>
        <w:pStyle w:val="Default"/>
      </w:pPr>
      <w:hyperlink w:anchor="Appeals" w:history="1">
        <w:r w:rsidR="001F2B8F" w:rsidRPr="00293ED1">
          <w:rPr>
            <w:rStyle w:val="Hyperlink"/>
          </w:rPr>
          <w:t>Appeals</w:t>
        </w:r>
      </w:hyperlink>
      <w:r w:rsidR="004F6860">
        <w:tab/>
      </w:r>
      <w:r w:rsidR="004F6860">
        <w:tab/>
      </w:r>
      <w:r w:rsidR="004F6860">
        <w:tab/>
      </w:r>
      <w:r w:rsidR="004F6860">
        <w:tab/>
      </w:r>
      <w:r w:rsidR="004F6860">
        <w:tab/>
      </w:r>
      <w:r w:rsidR="004F6860">
        <w:tab/>
      </w:r>
      <w:r w:rsidR="004F6860">
        <w:tab/>
      </w:r>
      <w:r w:rsidR="004F6860">
        <w:tab/>
      </w:r>
      <w:r w:rsidR="004F6860">
        <w:tab/>
      </w:r>
      <w:r w:rsidR="004F6860">
        <w:tab/>
        <w:t>2</w:t>
      </w:r>
      <w:r w:rsidR="00A26CB0">
        <w:t>3</w:t>
      </w:r>
    </w:p>
    <w:p w14:paraId="1729DCEA" w14:textId="3C0CAB04" w:rsidR="001F2B8F" w:rsidRDefault="001F2B8F" w:rsidP="00DC14B3">
      <w:pPr>
        <w:pStyle w:val="Default"/>
      </w:pPr>
    </w:p>
    <w:p w14:paraId="4D098029" w14:textId="39E30522" w:rsidR="001F2B8F" w:rsidRDefault="00150CC7" w:rsidP="00DC14B3">
      <w:pPr>
        <w:pStyle w:val="Default"/>
      </w:pPr>
      <w:hyperlink w:anchor="Confidentiality" w:history="1">
        <w:r w:rsidR="001F2B8F" w:rsidRPr="00293ED1">
          <w:rPr>
            <w:rStyle w:val="Hyperlink"/>
          </w:rPr>
          <w:t>Confidentiality</w:t>
        </w:r>
      </w:hyperlink>
      <w:r w:rsidR="004F6860">
        <w:tab/>
      </w:r>
      <w:r w:rsidR="004F6860">
        <w:tab/>
      </w:r>
      <w:r w:rsidR="004F6860">
        <w:tab/>
      </w:r>
      <w:r w:rsidR="004F6860">
        <w:tab/>
      </w:r>
      <w:r w:rsidR="004F6860">
        <w:tab/>
      </w:r>
      <w:r w:rsidR="004F6860">
        <w:tab/>
      </w:r>
      <w:r w:rsidR="004F6860">
        <w:tab/>
      </w:r>
      <w:r w:rsidR="004F6860">
        <w:tab/>
      </w:r>
      <w:r w:rsidR="004F6860">
        <w:tab/>
        <w:t>2</w:t>
      </w:r>
      <w:r w:rsidR="00C61204">
        <w:t>3</w:t>
      </w:r>
    </w:p>
    <w:p w14:paraId="61E11362" w14:textId="77777777" w:rsidR="00F276B9" w:rsidRDefault="00F276B9" w:rsidP="00DC14B3">
      <w:pPr>
        <w:pStyle w:val="Default"/>
      </w:pPr>
    </w:p>
    <w:p w14:paraId="439D0F9E" w14:textId="77777777" w:rsidR="0022101A" w:rsidRPr="0045212D" w:rsidRDefault="00802F15" w:rsidP="0045212D">
      <w:pPr>
        <w:pStyle w:val="Default"/>
        <w:numPr>
          <w:ilvl w:val="0"/>
          <w:numId w:val="1"/>
        </w:numPr>
        <w:ind w:left="709" w:hanging="709"/>
        <w:rPr>
          <w:b/>
          <w:bCs/>
        </w:rPr>
      </w:pPr>
      <w:r w:rsidRPr="00B11903">
        <w:br w:type="page"/>
      </w:r>
      <w:bookmarkStart w:id="1" w:name="Policystatement"/>
      <w:r w:rsidR="00CA799C" w:rsidRPr="0045212D">
        <w:rPr>
          <w:b/>
          <w:bCs/>
        </w:rPr>
        <w:lastRenderedPageBreak/>
        <w:t>Policy statement</w:t>
      </w:r>
      <w:bookmarkEnd w:id="1"/>
    </w:p>
    <w:p w14:paraId="07547A01" w14:textId="77777777" w:rsidR="0022101A" w:rsidRPr="0045212D" w:rsidRDefault="0022101A" w:rsidP="0022101A">
      <w:pPr>
        <w:pStyle w:val="Default"/>
        <w:ind w:left="1440"/>
      </w:pPr>
    </w:p>
    <w:p w14:paraId="5DF8698C" w14:textId="1DF6029E" w:rsidR="00DF59A0" w:rsidRDefault="00E75714" w:rsidP="00DF59A0">
      <w:pPr>
        <w:pStyle w:val="Default"/>
        <w:numPr>
          <w:ilvl w:val="1"/>
          <w:numId w:val="1"/>
        </w:numPr>
        <w:ind w:left="709" w:hanging="709"/>
      </w:pPr>
      <w:r w:rsidRPr="0045212D">
        <w:rPr>
          <w:lang w:eastAsia="ja-JP"/>
        </w:rPr>
        <w:t xml:space="preserve">This policy </w:t>
      </w:r>
      <w:r w:rsidR="00DF59A0">
        <w:rPr>
          <w:lang w:eastAsia="ja-JP"/>
        </w:rPr>
        <w:t xml:space="preserve">sets out </w:t>
      </w:r>
      <w:r w:rsidR="00DF59A0" w:rsidRPr="00DF59A0">
        <w:rPr>
          <w:lang w:eastAsia="ja-JP"/>
        </w:rPr>
        <w:t>the standards and general guidance which West of Scotland Housing Association will follow to ensure that properties are allocated to those most in need of them</w:t>
      </w:r>
      <w:r w:rsidRPr="0045212D">
        <w:rPr>
          <w:lang w:eastAsia="ja-JP"/>
        </w:rPr>
        <w:t>.</w:t>
      </w:r>
    </w:p>
    <w:p w14:paraId="01CF2A50" w14:textId="77777777" w:rsidR="00DF59A0" w:rsidRDefault="00DF59A0" w:rsidP="00DF59A0">
      <w:pPr>
        <w:pStyle w:val="Default"/>
        <w:ind w:left="709"/>
      </w:pPr>
    </w:p>
    <w:p w14:paraId="7719065C" w14:textId="38D0633B" w:rsidR="00DF59A0" w:rsidRDefault="00DF59A0" w:rsidP="00DF59A0">
      <w:pPr>
        <w:pStyle w:val="Default"/>
        <w:numPr>
          <w:ilvl w:val="1"/>
          <w:numId w:val="1"/>
        </w:numPr>
        <w:ind w:left="709" w:hanging="709"/>
      </w:pPr>
      <w:r>
        <w:t xml:space="preserve">This policy aims to </w:t>
      </w:r>
      <w:r w:rsidRPr="00DF59A0">
        <w:t xml:space="preserve">provide affordable and well managed rented accommodation to those in housing need, and at the same time contribute to providing balanced and sustainable communities. </w:t>
      </w:r>
    </w:p>
    <w:p w14:paraId="09FBF5A6" w14:textId="0F814722" w:rsidR="00E75714" w:rsidRPr="0045212D" w:rsidRDefault="00E75714" w:rsidP="00693453">
      <w:pPr>
        <w:pStyle w:val="Default"/>
        <w:ind w:left="709"/>
        <w:rPr>
          <w:lang w:eastAsia="ja-JP"/>
        </w:rPr>
      </w:pPr>
    </w:p>
    <w:p w14:paraId="56EAD9A9" w14:textId="45634D26" w:rsidR="00E75714" w:rsidRDefault="00E75714" w:rsidP="00E75714">
      <w:pPr>
        <w:pStyle w:val="Default"/>
        <w:numPr>
          <w:ilvl w:val="1"/>
          <w:numId w:val="1"/>
        </w:numPr>
        <w:ind w:left="709" w:hanging="709"/>
      </w:pPr>
      <w:r w:rsidRPr="0045212D">
        <w:rPr>
          <w:lang w:eastAsia="ja-JP"/>
        </w:rPr>
        <w:t>Below is a summary of WSHA’s policy commitments:</w:t>
      </w:r>
    </w:p>
    <w:p w14:paraId="6E464BC4" w14:textId="64E88EFF" w:rsidR="00B65B04" w:rsidRDefault="00B65B04" w:rsidP="00B65B04">
      <w:pPr>
        <w:pStyle w:val="ListParagraph"/>
      </w:pPr>
    </w:p>
    <w:p w14:paraId="363CD8B3" w14:textId="2DE80D33" w:rsidR="00693453" w:rsidRDefault="00693453" w:rsidP="00693453">
      <w:pPr>
        <w:pStyle w:val="ListParagraph"/>
        <w:widowControl w:val="0"/>
        <w:numPr>
          <w:ilvl w:val="0"/>
          <w:numId w:val="28"/>
        </w:numPr>
        <w:tabs>
          <w:tab w:val="left" w:pos="1722"/>
          <w:tab w:val="left" w:pos="1723"/>
        </w:tabs>
        <w:autoSpaceDE w:val="0"/>
        <w:autoSpaceDN w:val="0"/>
        <w:ind w:left="1418" w:right="181" w:hanging="709"/>
        <w:rPr>
          <w:sz w:val="24"/>
        </w:rPr>
      </w:pPr>
      <w:r>
        <w:rPr>
          <w:sz w:val="24"/>
        </w:rPr>
        <w:t>t</w:t>
      </w:r>
      <w:r w:rsidRPr="00693453">
        <w:rPr>
          <w:sz w:val="24"/>
        </w:rPr>
        <w:t>o ensure that a balance of applicants from a range of circumstances are given the opportunity to be housed;</w:t>
      </w:r>
    </w:p>
    <w:p w14:paraId="15278189" w14:textId="0AC71170" w:rsidR="00693453" w:rsidRDefault="00693453" w:rsidP="00693453">
      <w:pPr>
        <w:pStyle w:val="ListParagraph"/>
        <w:widowControl w:val="0"/>
        <w:numPr>
          <w:ilvl w:val="0"/>
          <w:numId w:val="28"/>
        </w:numPr>
        <w:tabs>
          <w:tab w:val="left" w:pos="1722"/>
          <w:tab w:val="left" w:pos="1723"/>
        </w:tabs>
        <w:autoSpaceDE w:val="0"/>
        <w:autoSpaceDN w:val="0"/>
        <w:ind w:left="1418" w:right="181" w:hanging="709"/>
        <w:rPr>
          <w:sz w:val="24"/>
        </w:rPr>
      </w:pPr>
      <w:r>
        <w:rPr>
          <w:sz w:val="24"/>
        </w:rPr>
        <w:t>t</w:t>
      </w:r>
      <w:r w:rsidRPr="00693453">
        <w:rPr>
          <w:sz w:val="24"/>
        </w:rPr>
        <w:t>o assist Local Authorities and other housing providers to relieve homelessness, poor housing conditions and meet other housing needs;</w:t>
      </w:r>
    </w:p>
    <w:p w14:paraId="5062A2F2" w14:textId="72C55985" w:rsidR="00693453" w:rsidRDefault="00693453" w:rsidP="00693453">
      <w:pPr>
        <w:pStyle w:val="ListParagraph"/>
        <w:widowControl w:val="0"/>
        <w:numPr>
          <w:ilvl w:val="0"/>
          <w:numId w:val="28"/>
        </w:numPr>
        <w:tabs>
          <w:tab w:val="left" w:pos="1722"/>
          <w:tab w:val="left" w:pos="1723"/>
        </w:tabs>
        <w:autoSpaceDE w:val="0"/>
        <w:autoSpaceDN w:val="0"/>
        <w:ind w:left="1418" w:right="181" w:hanging="709"/>
        <w:rPr>
          <w:sz w:val="24"/>
        </w:rPr>
      </w:pPr>
      <w:r>
        <w:rPr>
          <w:sz w:val="24"/>
        </w:rPr>
        <w:t>t</w:t>
      </w:r>
      <w:r w:rsidRPr="00693453">
        <w:rPr>
          <w:sz w:val="24"/>
        </w:rPr>
        <w:t xml:space="preserve">o provide a source of housing to other organisations assisting those in housing need, who have additional support needs, through nomination agreements;  </w:t>
      </w:r>
    </w:p>
    <w:p w14:paraId="301E2B76" w14:textId="0C854A7E" w:rsidR="00693453" w:rsidRDefault="00693453" w:rsidP="00693453">
      <w:pPr>
        <w:pStyle w:val="ListParagraph"/>
        <w:widowControl w:val="0"/>
        <w:numPr>
          <w:ilvl w:val="0"/>
          <w:numId w:val="28"/>
        </w:numPr>
        <w:tabs>
          <w:tab w:val="left" w:pos="1722"/>
          <w:tab w:val="left" w:pos="1723"/>
        </w:tabs>
        <w:autoSpaceDE w:val="0"/>
        <w:autoSpaceDN w:val="0"/>
        <w:ind w:left="1418" w:right="181" w:hanging="709"/>
        <w:rPr>
          <w:sz w:val="24"/>
        </w:rPr>
      </w:pPr>
      <w:r>
        <w:rPr>
          <w:sz w:val="24"/>
        </w:rPr>
        <w:t>t</w:t>
      </w:r>
      <w:r w:rsidRPr="00693453">
        <w:rPr>
          <w:sz w:val="24"/>
        </w:rPr>
        <w:t xml:space="preserve">o maximise opportunities for applicants to </w:t>
      </w:r>
      <w:r w:rsidR="00FD72C7" w:rsidRPr="00693453">
        <w:rPr>
          <w:sz w:val="24"/>
        </w:rPr>
        <w:t>make informed</w:t>
      </w:r>
      <w:r w:rsidRPr="00693453">
        <w:rPr>
          <w:sz w:val="24"/>
        </w:rPr>
        <w:t xml:space="preserve"> choices by providing good information and realistic advice about their housing options;</w:t>
      </w:r>
    </w:p>
    <w:p w14:paraId="09548200" w14:textId="0C273997" w:rsidR="00693453" w:rsidRDefault="00693453" w:rsidP="00693453">
      <w:pPr>
        <w:pStyle w:val="ListParagraph"/>
        <w:widowControl w:val="0"/>
        <w:numPr>
          <w:ilvl w:val="0"/>
          <w:numId w:val="28"/>
        </w:numPr>
        <w:tabs>
          <w:tab w:val="left" w:pos="1722"/>
          <w:tab w:val="left" w:pos="1723"/>
        </w:tabs>
        <w:autoSpaceDE w:val="0"/>
        <w:autoSpaceDN w:val="0"/>
        <w:ind w:left="1418" w:right="181" w:hanging="709"/>
        <w:rPr>
          <w:sz w:val="24"/>
        </w:rPr>
      </w:pPr>
      <w:r>
        <w:rPr>
          <w:sz w:val="24"/>
        </w:rPr>
        <w:t>t</w:t>
      </w:r>
      <w:r w:rsidRPr="00693453">
        <w:rPr>
          <w:sz w:val="24"/>
        </w:rPr>
        <w:t>o ensure that successful applicants are offered accommodation suitable for their needs;</w:t>
      </w:r>
    </w:p>
    <w:p w14:paraId="08EC1F33" w14:textId="3E729A97" w:rsidR="00693453" w:rsidRDefault="00693453" w:rsidP="00693453">
      <w:pPr>
        <w:pStyle w:val="ListParagraph"/>
        <w:widowControl w:val="0"/>
        <w:numPr>
          <w:ilvl w:val="0"/>
          <w:numId w:val="28"/>
        </w:numPr>
        <w:tabs>
          <w:tab w:val="left" w:pos="1722"/>
          <w:tab w:val="left" w:pos="1723"/>
        </w:tabs>
        <w:autoSpaceDE w:val="0"/>
        <w:autoSpaceDN w:val="0"/>
        <w:ind w:left="1418" w:right="181" w:hanging="709"/>
        <w:rPr>
          <w:sz w:val="24"/>
        </w:rPr>
      </w:pPr>
      <w:r>
        <w:rPr>
          <w:sz w:val="24"/>
        </w:rPr>
        <w:t>t</w:t>
      </w:r>
      <w:r w:rsidRPr="00693453">
        <w:rPr>
          <w:sz w:val="24"/>
        </w:rPr>
        <w:t>o operate a system of allocating houses that is consistent, fair, easily understood and simple to administer;</w:t>
      </w:r>
    </w:p>
    <w:p w14:paraId="29457FF4" w14:textId="464C4965" w:rsidR="00693453" w:rsidRDefault="00693453" w:rsidP="00693453">
      <w:pPr>
        <w:pStyle w:val="ListParagraph"/>
        <w:widowControl w:val="0"/>
        <w:numPr>
          <w:ilvl w:val="0"/>
          <w:numId w:val="28"/>
        </w:numPr>
        <w:tabs>
          <w:tab w:val="left" w:pos="1722"/>
          <w:tab w:val="left" w:pos="1723"/>
        </w:tabs>
        <w:autoSpaceDE w:val="0"/>
        <w:autoSpaceDN w:val="0"/>
        <w:ind w:left="1418" w:right="181" w:hanging="709"/>
        <w:rPr>
          <w:sz w:val="24"/>
        </w:rPr>
      </w:pPr>
      <w:r>
        <w:rPr>
          <w:sz w:val="24"/>
        </w:rPr>
        <w:t>t</w:t>
      </w:r>
      <w:r w:rsidRPr="00693453">
        <w:rPr>
          <w:sz w:val="24"/>
        </w:rPr>
        <w:t>o ensure we comply with legislation, guidance and best practice;</w:t>
      </w:r>
    </w:p>
    <w:p w14:paraId="61AF9DD8" w14:textId="160275A4" w:rsidR="00693453" w:rsidRDefault="00693453" w:rsidP="00693453">
      <w:pPr>
        <w:pStyle w:val="ListParagraph"/>
        <w:widowControl w:val="0"/>
        <w:numPr>
          <w:ilvl w:val="0"/>
          <w:numId w:val="28"/>
        </w:numPr>
        <w:tabs>
          <w:tab w:val="left" w:pos="1722"/>
          <w:tab w:val="left" w:pos="1723"/>
        </w:tabs>
        <w:autoSpaceDE w:val="0"/>
        <w:autoSpaceDN w:val="0"/>
        <w:ind w:left="1418" w:right="181" w:hanging="709"/>
        <w:rPr>
          <w:sz w:val="24"/>
        </w:rPr>
      </w:pPr>
      <w:r>
        <w:rPr>
          <w:sz w:val="24"/>
        </w:rPr>
        <w:t>t</w:t>
      </w:r>
      <w:r w:rsidRPr="00693453">
        <w:rPr>
          <w:sz w:val="24"/>
        </w:rPr>
        <w:t>o maintain our housing lists and allocate properties as efficiently as possible;</w:t>
      </w:r>
    </w:p>
    <w:p w14:paraId="0A615164" w14:textId="172A8D1B" w:rsidR="00693453" w:rsidRPr="00693453" w:rsidRDefault="00693453" w:rsidP="00693453">
      <w:pPr>
        <w:pStyle w:val="ListParagraph"/>
        <w:widowControl w:val="0"/>
        <w:numPr>
          <w:ilvl w:val="0"/>
          <w:numId w:val="28"/>
        </w:numPr>
        <w:tabs>
          <w:tab w:val="left" w:pos="1722"/>
          <w:tab w:val="left" w:pos="1723"/>
        </w:tabs>
        <w:autoSpaceDE w:val="0"/>
        <w:autoSpaceDN w:val="0"/>
        <w:ind w:left="1418" w:right="181" w:hanging="709"/>
        <w:rPr>
          <w:sz w:val="24"/>
        </w:rPr>
      </w:pPr>
      <w:r>
        <w:rPr>
          <w:sz w:val="24"/>
        </w:rPr>
        <w:t>t</w:t>
      </w:r>
      <w:r w:rsidRPr="00693453">
        <w:rPr>
          <w:sz w:val="24"/>
        </w:rPr>
        <w:t xml:space="preserve">o make the best use of our housing </w:t>
      </w:r>
      <w:r w:rsidR="00FD72C7" w:rsidRPr="00693453">
        <w:rPr>
          <w:sz w:val="24"/>
        </w:rPr>
        <w:t>stock,</w:t>
      </w:r>
      <w:r w:rsidRPr="00693453">
        <w:rPr>
          <w:sz w:val="24"/>
        </w:rPr>
        <w:t xml:space="preserve"> make sure our properties are of an appropriate lettable standard and minimise the time that properties are vacant</w:t>
      </w:r>
      <w:r>
        <w:rPr>
          <w:sz w:val="24"/>
        </w:rPr>
        <w:t>.</w:t>
      </w:r>
    </w:p>
    <w:p w14:paraId="41FBC321" w14:textId="527C19A8" w:rsidR="00B65B04" w:rsidRDefault="00B65B04" w:rsidP="00693453">
      <w:pPr>
        <w:pStyle w:val="Default"/>
        <w:ind w:left="1418"/>
      </w:pPr>
    </w:p>
    <w:p w14:paraId="2D8D02FD" w14:textId="13F0207C" w:rsidR="00373CCE" w:rsidRPr="00B65B04" w:rsidRDefault="00B65B04" w:rsidP="00373CCE">
      <w:pPr>
        <w:pStyle w:val="Default"/>
        <w:numPr>
          <w:ilvl w:val="1"/>
          <w:numId w:val="1"/>
        </w:numPr>
        <w:ind w:left="709" w:hanging="709"/>
        <w:rPr>
          <w:b/>
          <w:bCs/>
        </w:rPr>
      </w:pPr>
      <w:r>
        <w:t xml:space="preserve">This policy and associated procedure are applicable to the housing management services delivered by WSHA to general needs, sheltered, </w:t>
      </w:r>
      <w:r w:rsidR="00693453">
        <w:t xml:space="preserve">supported and </w:t>
      </w:r>
      <w:r>
        <w:t>amenity customers.</w:t>
      </w:r>
    </w:p>
    <w:p w14:paraId="2988D0EA" w14:textId="77777777" w:rsidR="00E75714" w:rsidRPr="0045212D" w:rsidRDefault="00E75714" w:rsidP="00E75714">
      <w:pPr>
        <w:pStyle w:val="Default"/>
        <w:ind w:left="709"/>
      </w:pPr>
    </w:p>
    <w:p w14:paraId="62C3CF60" w14:textId="0CF792A2" w:rsidR="00E75714" w:rsidRPr="0045212D" w:rsidRDefault="00E75714" w:rsidP="00E75714">
      <w:pPr>
        <w:pStyle w:val="Default"/>
        <w:numPr>
          <w:ilvl w:val="0"/>
          <w:numId w:val="1"/>
        </w:numPr>
        <w:ind w:left="709" w:hanging="709"/>
      </w:pPr>
      <w:bookmarkStart w:id="2" w:name="Rolesandresponsibilities"/>
      <w:r w:rsidRPr="0045212D">
        <w:rPr>
          <w:b/>
          <w:bCs/>
          <w:lang w:eastAsia="ja-JP"/>
        </w:rPr>
        <w:t>Roles and responsibilities</w:t>
      </w:r>
    </w:p>
    <w:bookmarkEnd w:id="2"/>
    <w:p w14:paraId="10C114E4" w14:textId="77777777" w:rsidR="00E75714" w:rsidRPr="0045212D" w:rsidRDefault="00E75714" w:rsidP="00E75714">
      <w:pPr>
        <w:pStyle w:val="Default"/>
        <w:ind w:left="709"/>
      </w:pPr>
    </w:p>
    <w:p w14:paraId="7BF2A880" w14:textId="5222FC2D" w:rsidR="00E75714" w:rsidRPr="0045212D" w:rsidRDefault="00E75714" w:rsidP="00E75714">
      <w:pPr>
        <w:pStyle w:val="Default"/>
        <w:numPr>
          <w:ilvl w:val="1"/>
          <w:numId w:val="1"/>
        </w:numPr>
        <w:ind w:left="709" w:hanging="709"/>
      </w:pPr>
      <w:r w:rsidRPr="0045212D">
        <w:rPr>
          <w:lang w:eastAsia="ja-JP"/>
        </w:rPr>
        <w:t xml:space="preserve">The </w:t>
      </w:r>
      <w:r w:rsidR="004854C3" w:rsidRPr="0045212D">
        <w:rPr>
          <w:lang w:eastAsia="ja-JP"/>
        </w:rPr>
        <w:t>Director of Housing &amp; Community Services</w:t>
      </w:r>
      <w:r w:rsidRPr="0045212D">
        <w:rPr>
          <w:lang w:eastAsia="ja-JP"/>
        </w:rPr>
        <w:t xml:space="preserve"> is responsible for ensuring adoption of, and adherence to, this policy and its associated procedures relevant to their operation.</w:t>
      </w:r>
    </w:p>
    <w:p w14:paraId="096EA96B" w14:textId="77777777" w:rsidR="00E75714" w:rsidRPr="0045212D" w:rsidRDefault="00E75714" w:rsidP="00E75714">
      <w:pPr>
        <w:pStyle w:val="Default"/>
        <w:ind w:left="709"/>
      </w:pPr>
    </w:p>
    <w:p w14:paraId="46CFC24A" w14:textId="7A2A34B9" w:rsidR="00E75714" w:rsidRPr="0045212D" w:rsidRDefault="00E75714" w:rsidP="00E75714">
      <w:pPr>
        <w:pStyle w:val="Default"/>
        <w:numPr>
          <w:ilvl w:val="1"/>
          <w:numId w:val="1"/>
        </w:numPr>
        <w:ind w:left="709" w:hanging="709"/>
      </w:pPr>
      <w:r w:rsidRPr="0045212D">
        <w:rPr>
          <w:lang w:eastAsia="ja-JP"/>
        </w:rPr>
        <w:t xml:space="preserve">The Director </w:t>
      </w:r>
      <w:r w:rsidR="004854C3" w:rsidRPr="0045212D">
        <w:rPr>
          <w:lang w:eastAsia="ja-JP"/>
        </w:rPr>
        <w:t xml:space="preserve">of Housing &amp; Community Services </w:t>
      </w:r>
      <w:r w:rsidRPr="0045212D">
        <w:rPr>
          <w:lang w:eastAsia="ja-JP"/>
        </w:rPr>
        <w:t xml:space="preserve">has responsibility for ensuring that WSHA </w:t>
      </w:r>
      <w:r w:rsidR="004854C3" w:rsidRPr="0045212D">
        <w:rPr>
          <w:lang w:eastAsia="ja-JP"/>
        </w:rPr>
        <w:t>is</w:t>
      </w:r>
      <w:r w:rsidRPr="0045212D">
        <w:rPr>
          <w:lang w:eastAsia="ja-JP"/>
        </w:rPr>
        <w:t xml:space="preserve"> compliant with </w:t>
      </w:r>
      <w:r w:rsidR="004854C3" w:rsidRPr="0045212D">
        <w:rPr>
          <w:lang w:eastAsia="ja-JP"/>
        </w:rPr>
        <w:t>l</w:t>
      </w:r>
      <w:r w:rsidRPr="0045212D">
        <w:rPr>
          <w:lang w:eastAsia="ja-JP"/>
        </w:rPr>
        <w:t>egislative/</w:t>
      </w:r>
      <w:r w:rsidR="004854C3" w:rsidRPr="0045212D">
        <w:rPr>
          <w:lang w:eastAsia="ja-JP"/>
        </w:rPr>
        <w:t>r</w:t>
      </w:r>
      <w:r w:rsidRPr="0045212D">
        <w:rPr>
          <w:lang w:eastAsia="ja-JP"/>
        </w:rPr>
        <w:t>egulatory requirements and good practice.</w:t>
      </w:r>
    </w:p>
    <w:p w14:paraId="2B5D6F12" w14:textId="77777777" w:rsidR="00E75714" w:rsidRPr="0045212D" w:rsidRDefault="00E75714" w:rsidP="00E75714">
      <w:pPr>
        <w:pStyle w:val="ListParagraph"/>
        <w:rPr>
          <w:rFonts w:cs="Arial"/>
          <w:sz w:val="24"/>
          <w:szCs w:val="24"/>
          <w:lang w:eastAsia="ja-JP"/>
        </w:rPr>
      </w:pPr>
    </w:p>
    <w:p w14:paraId="5110577D" w14:textId="673F078D" w:rsidR="00E75714" w:rsidRPr="0045212D" w:rsidRDefault="004854C3" w:rsidP="00E75714">
      <w:pPr>
        <w:pStyle w:val="Default"/>
        <w:numPr>
          <w:ilvl w:val="1"/>
          <w:numId w:val="1"/>
        </w:numPr>
        <w:ind w:left="709" w:hanging="709"/>
      </w:pPr>
      <w:r w:rsidRPr="0045212D">
        <w:rPr>
          <w:lang w:eastAsia="ja-JP"/>
        </w:rPr>
        <w:lastRenderedPageBreak/>
        <w:t xml:space="preserve">The </w:t>
      </w:r>
      <w:r w:rsidR="00E75714" w:rsidRPr="0045212D">
        <w:rPr>
          <w:lang w:eastAsia="ja-JP"/>
        </w:rPr>
        <w:t>Housing Manager ha</w:t>
      </w:r>
      <w:r w:rsidRPr="0045212D">
        <w:rPr>
          <w:lang w:eastAsia="ja-JP"/>
        </w:rPr>
        <w:t>s</w:t>
      </w:r>
      <w:r w:rsidR="00E75714" w:rsidRPr="0045212D">
        <w:rPr>
          <w:lang w:eastAsia="ja-JP"/>
        </w:rPr>
        <w:t xml:space="preserve"> day-to-day responsibility for the implementation of this policy in practice. They are responsible for:</w:t>
      </w:r>
    </w:p>
    <w:p w14:paraId="7AF94646" w14:textId="77777777" w:rsidR="00E75714" w:rsidRPr="0045212D" w:rsidRDefault="00E75714" w:rsidP="00E75714">
      <w:pPr>
        <w:pStyle w:val="ListParagraph"/>
        <w:rPr>
          <w:rFonts w:cs="Arial"/>
          <w:sz w:val="24"/>
          <w:szCs w:val="24"/>
          <w:lang w:eastAsia="ja-JP"/>
        </w:rPr>
      </w:pPr>
    </w:p>
    <w:p w14:paraId="17CC495C" w14:textId="77777777" w:rsidR="008444BE" w:rsidRDefault="008444BE" w:rsidP="008444BE">
      <w:pPr>
        <w:pStyle w:val="Default"/>
        <w:numPr>
          <w:ilvl w:val="0"/>
          <w:numId w:val="14"/>
        </w:numPr>
        <w:ind w:left="1418" w:hanging="709"/>
      </w:pPr>
      <w:r w:rsidRPr="0045212D">
        <w:rPr>
          <w:lang w:eastAsia="ja-JP"/>
        </w:rPr>
        <w:t>ensuring this policy is communicated with all staff;</w:t>
      </w:r>
    </w:p>
    <w:p w14:paraId="069CEE89" w14:textId="77777777" w:rsidR="008444BE" w:rsidRDefault="008444BE" w:rsidP="008444BE">
      <w:pPr>
        <w:pStyle w:val="Default"/>
        <w:numPr>
          <w:ilvl w:val="0"/>
          <w:numId w:val="14"/>
        </w:numPr>
        <w:ind w:left="1418" w:hanging="709"/>
      </w:pPr>
      <w:r w:rsidRPr="0045212D">
        <w:rPr>
          <w:lang w:eastAsia="ja-JP"/>
        </w:rPr>
        <w:t>ensuring suitable and sufficient training and instruction is provided;</w:t>
      </w:r>
    </w:p>
    <w:p w14:paraId="76D5F96E" w14:textId="197A5F0B" w:rsidR="008444BE" w:rsidRDefault="008444BE" w:rsidP="008444BE">
      <w:pPr>
        <w:pStyle w:val="Default"/>
        <w:numPr>
          <w:ilvl w:val="0"/>
          <w:numId w:val="14"/>
        </w:numPr>
        <w:ind w:left="1418" w:hanging="709"/>
      </w:pPr>
      <w:r w:rsidRPr="0045212D">
        <w:rPr>
          <w:lang w:eastAsia="ja-JP"/>
        </w:rPr>
        <w:t>ensuring this policy is followed by all staff; and</w:t>
      </w:r>
    </w:p>
    <w:p w14:paraId="18A1DB2E" w14:textId="36D665BE" w:rsidR="008444BE" w:rsidRPr="0045212D" w:rsidRDefault="008444BE" w:rsidP="008444BE">
      <w:pPr>
        <w:pStyle w:val="Default"/>
        <w:numPr>
          <w:ilvl w:val="0"/>
          <w:numId w:val="14"/>
        </w:numPr>
        <w:ind w:left="1418" w:hanging="709"/>
      </w:pPr>
      <w:r w:rsidRPr="0045212D">
        <w:rPr>
          <w:lang w:eastAsia="ja-JP"/>
        </w:rPr>
        <w:t>ensuring the necessary equipment and resources are available to make sure compliance can be achieved.</w:t>
      </w:r>
    </w:p>
    <w:p w14:paraId="1FEADDDA" w14:textId="77777777" w:rsidR="00E75714" w:rsidRPr="0045212D" w:rsidRDefault="00E75714" w:rsidP="00E75714">
      <w:pPr>
        <w:pStyle w:val="Default"/>
        <w:ind w:left="709"/>
      </w:pPr>
    </w:p>
    <w:p w14:paraId="5FDBBBF9" w14:textId="0BC72A3C" w:rsidR="00167DA2" w:rsidRPr="0045212D" w:rsidRDefault="00E75714" w:rsidP="00E75714">
      <w:pPr>
        <w:pStyle w:val="Default"/>
        <w:numPr>
          <w:ilvl w:val="1"/>
          <w:numId w:val="1"/>
        </w:numPr>
        <w:ind w:left="709" w:hanging="709"/>
      </w:pPr>
      <w:r w:rsidRPr="0045212D">
        <w:rPr>
          <w:lang w:eastAsia="ja-JP"/>
        </w:rPr>
        <w:t>To assist WSHA in carrying out its obligations, employees must:</w:t>
      </w:r>
    </w:p>
    <w:p w14:paraId="72ABED0D" w14:textId="77777777" w:rsidR="00167DA2" w:rsidRPr="0045212D" w:rsidRDefault="00167DA2" w:rsidP="00167DA2">
      <w:pPr>
        <w:pStyle w:val="Default"/>
        <w:ind w:left="709"/>
      </w:pPr>
    </w:p>
    <w:p w14:paraId="3EB61AAE" w14:textId="77777777" w:rsidR="00FA7D22" w:rsidRDefault="00E75714" w:rsidP="00FA7D22">
      <w:pPr>
        <w:pStyle w:val="Default"/>
        <w:numPr>
          <w:ilvl w:val="0"/>
          <w:numId w:val="15"/>
        </w:numPr>
        <w:ind w:left="1418" w:hanging="709"/>
      </w:pPr>
      <w:r w:rsidRPr="0045212D">
        <w:rPr>
          <w:lang w:eastAsia="ja-JP"/>
        </w:rPr>
        <w:t>be aware of, understand and comply with this policy and any related operational guidance</w:t>
      </w:r>
    </w:p>
    <w:p w14:paraId="75038FBB" w14:textId="77777777" w:rsidR="00FA7D22" w:rsidRDefault="00E75714" w:rsidP="00FA7D22">
      <w:pPr>
        <w:pStyle w:val="Default"/>
        <w:numPr>
          <w:ilvl w:val="0"/>
          <w:numId w:val="15"/>
        </w:numPr>
        <w:ind w:left="1418" w:hanging="709"/>
      </w:pPr>
      <w:r w:rsidRPr="0045212D">
        <w:rPr>
          <w:lang w:eastAsia="ja-JP"/>
        </w:rPr>
        <w:t>participate in any training which WSHA makes available; and</w:t>
      </w:r>
    </w:p>
    <w:p w14:paraId="277A0732" w14:textId="3B70E4BA" w:rsidR="00167DA2" w:rsidRPr="0045212D" w:rsidRDefault="00E75714" w:rsidP="00FA7D22">
      <w:pPr>
        <w:pStyle w:val="Default"/>
        <w:numPr>
          <w:ilvl w:val="0"/>
          <w:numId w:val="15"/>
        </w:numPr>
        <w:ind w:left="1418" w:hanging="709"/>
      </w:pPr>
      <w:r w:rsidRPr="0045212D">
        <w:rPr>
          <w:lang w:eastAsia="ja-JP"/>
        </w:rPr>
        <w:t>communicate any issues with implementing this policy to their line manager and identify opportunities for continuous improvement.</w:t>
      </w:r>
    </w:p>
    <w:p w14:paraId="3FEF6EEC" w14:textId="77777777" w:rsidR="00167DA2" w:rsidRPr="0045212D" w:rsidRDefault="00167DA2" w:rsidP="00167DA2">
      <w:pPr>
        <w:pStyle w:val="Default"/>
        <w:ind w:left="709"/>
      </w:pPr>
    </w:p>
    <w:p w14:paraId="63A044C4" w14:textId="167B022D" w:rsidR="00167DA2" w:rsidRPr="0045212D" w:rsidRDefault="00E75714" w:rsidP="00E75714">
      <w:pPr>
        <w:pStyle w:val="Default"/>
        <w:numPr>
          <w:ilvl w:val="0"/>
          <w:numId w:val="1"/>
        </w:numPr>
        <w:ind w:left="709" w:hanging="709"/>
      </w:pPr>
      <w:bookmarkStart w:id="3" w:name="Referencesandsources"/>
      <w:r w:rsidRPr="0045212D">
        <w:rPr>
          <w:b/>
          <w:bCs/>
          <w:lang w:eastAsia="ja-JP"/>
        </w:rPr>
        <w:t>References and sources</w:t>
      </w:r>
    </w:p>
    <w:bookmarkEnd w:id="3"/>
    <w:p w14:paraId="080F2C34" w14:textId="77777777" w:rsidR="00167DA2" w:rsidRPr="0045212D" w:rsidRDefault="00167DA2" w:rsidP="00167DA2">
      <w:pPr>
        <w:pStyle w:val="Default"/>
        <w:ind w:left="709"/>
      </w:pPr>
    </w:p>
    <w:p w14:paraId="6DE45C5E" w14:textId="015EE028" w:rsidR="004854C3" w:rsidRPr="0045212D" w:rsidRDefault="00E75714" w:rsidP="00693453">
      <w:pPr>
        <w:pStyle w:val="Default"/>
        <w:numPr>
          <w:ilvl w:val="1"/>
          <w:numId w:val="1"/>
        </w:numPr>
        <w:ind w:left="709" w:hanging="709"/>
      </w:pPr>
      <w:r w:rsidRPr="0045212D">
        <w:rPr>
          <w:lang w:eastAsia="ja-JP"/>
        </w:rPr>
        <w:t>The following legislation, references and sources are relevant to the development and delivery of this policy and associated procedure:</w:t>
      </w:r>
    </w:p>
    <w:p w14:paraId="06E83DFD" w14:textId="77777777" w:rsidR="00693453" w:rsidRDefault="00693453" w:rsidP="00693453">
      <w:pPr>
        <w:pStyle w:val="BodyText"/>
        <w:rPr>
          <w:b/>
        </w:rPr>
      </w:pPr>
    </w:p>
    <w:p w14:paraId="169EB4B5" w14:textId="77777777" w:rsidR="00693453" w:rsidRPr="00673724" w:rsidRDefault="00150CC7" w:rsidP="00693453">
      <w:pPr>
        <w:pStyle w:val="ListParagraph"/>
        <w:widowControl w:val="0"/>
        <w:numPr>
          <w:ilvl w:val="0"/>
          <w:numId w:val="29"/>
        </w:numPr>
        <w:tabs>
          <w:tab w:val="left" w:pos="1722"/>
          <w:tab w:val="left" w:pos="1723"/>
        </w:tabs>
        <w:autoSpaceDE w:val="0"/>
        <w:autoSpaceDN w:val="0"/>
        <w:ind w:right="811"/>
        <w:rPr>
          <w:color w:val="0070C0"/>
          <w:sz w:val="24"/>
        </w:rPr>
      </w:pPr>
      <w:hyperlink r:id="rId11">
        <w:r w:rsidR="00693453" w:rsidRPr="00673724">
          <w:rPr>
            <w:color w:val="0070C0"/>
            <w:sz w:val="24"/>
            <w:u w:val="single" w:color="0000FF"/>
          </w:rPr>
          <w:t>A Housing Practitioner’s Guide to Integrating Asylum Seekers and</w:t>
        </w:r>
      </w:hyperlink>
      <w:hyperlink r:id="rId12">
        <w:r w:rsidR="00693453" w:rsidRPr="00673724">
          <w:rPr>
            <w:color w:val="0070C0"/>
            <w:sz w:val="24"/>
            <w:u w:val="single" w:color="0000FF"/>
          </w:rPr>
          <w:t xml:space="preserve"> Refugees, Second Editions, Scottish Refugee</w:t>
        </w:r>
        <w:r w:rsidR="00693453" w:rsidRPr="00673724">
          <w:rPr>
            <w:color w:val="0070C0"/>
            <w:spacing w:val="-7"/>
            <w:sz w:val="24"/>
            <w:u w:val="single" w:color="0000FF"/>
          </w:rPr>
          <w:t xml:space="preserve"> </w:t>
        </w:r>
        <w:r w:rsidR="00693453" w:rsidRPr="00673724">
          <w:rPr>
            <w:color w:val="0070C0"/>
            <w:sz w:val="24"/>
            <w:u w:val="single" w:color="0000FF"/>
          </w:rPr>
          <w:t>Council</w:t>
        </w:r>
      </w:hyperlink>
    </w:p>
    <w:p w14:paraId="61873428" w14:textId="73EE8F29" w:rsidR="00693453" w:rsidRPr="006E3C09" w:rsidRDefault="00693453" w:rsidP="00693453">
      <w:pPr>
        <w:pStyle w:val="ListParagraph"/>
        <w:widowControl w:val="0"/>
        <w:numPr>
          <w:ilvl w:val="0"/>
          <w:numId w:val="29"/>
        </w:numPr>
        <w:tabs>
          <w:tab w:val="left" w:pos="1722"/>
          <w:tab w:val="left" w:pos="1723"/>
        </w:tabs>
        <w:autoSpaceDE w:val="0"/>
        <w:autoSpaceDN w:val="0"/>
        <w:ind w:right="196"/>
        <w:rPr>
          <w:sz w:val="24"/>
        </w:rPr>
      </w:pPr>
      <w:r w:rsidRPr="006E3C09">
        <w:rPr>
          <w:sz w:val="24"/>
        </w:rPr>
        <w:t xml:space="preserve">Complaints Handling Procedure </w:t>
      </w:r>
      <w:hyperlink r:id="rId13">
        <w:r w:rsidRPr="006E3C09">
          <w:rPr>
            <w:sz w:val="24"/>
          </w:rPr>
          <w:t xml:space="preserve"> </w:t>
        </w:r>
        <w:r w:rsidRPr="006E3C09">
          <w:rPr>
            <w:spacing w:val="-1"/>
            <w:sz w:val="24"/>
          </w:rPr>
          <w:t xml:space="preserve"> </w:t>
        </w:r>
      </w:hyperlink>
    </w:p>
    <w:p w14:paraId="1AE8C969" w14:textId="7C755DAE" w:rsidR="00693453" w:rsidRPr="006E3C09" w:rsidRDefault="00150CC7" w:rsidP="00693453">
      <w:pPr>
        <w:pStyle w:val="ListParagraph"/>
        <w:widowControl w:val="0"/>
        <w:numPr>
          <w:ilvl w:val="0"/>
          <w:numId w:val="29"/>
        </w:numPr>
        <w:tabs>
          <w:tab w:val="left" w:pos="1722"/>
          <w:tab w:val="left" w:pos="1723"/>
        </w:tabs>
        <w:autoSpaceDE w:val="0"/>
        <w:autoSpaceDN w:val="0"/>
        <w:rPr>
          <w:color w:val="0070C0"/>
          <w:sz w:val="24"/>
        </w:rPr>
      </w:pPr>
      <w:hyperlink r:id="rId14">
        <w:r w:rsidR="00693453" w:rsidRPr="00673724">
          <w:rPr>
            <w:color w:val="0070C0"/>
            <w:sz w:val="24"/>
            <w:u w:val="single" w:color="0000FF"/>
          </w:rPr>
          <w:t>Data Protection Act</w:t>
        </w:r>
        <w:r w:rsidR="00693453" w:rsidRPr="00673724">
          <w:rPr>
            <w:color w:val="0070C0"/>
            <w:spacing w:val="-1"/>
            <w:sz w:val="24"/>
            <w:u w:val="single" w:color="0000FF"/>
          </w:rPr>
          <w:t xml:space="preserve"> </w:t>
        </w:r>
        <w:r w:rsidR="00693453" w:rsidRPr="00673724">
          <w:rPr>
            <w:color w:val="0070C0"/>
            <w:sz w:val="24"/>
            <w:u w:val="single" w:color="0000FF"/>
          </w:rPr>
          <w:t>2018</w:t>
        </w:r>
      </w:hyperlink>
    </w:p>
    <w:p w14:paraId="3D97D31F" w14:textId="2F409143" w:rsidR="006E3C09" w:rsidRPr="006E3C09" w:rsidRDefault="006E3C09" w:rsidP="006E3C09">
      <w:pPr>
        <w:pStyle w:val="ListParagraph"/>
        <w:widowControl w:val="0"/>
        <w:numPr>
          <w:ilvl w:val="0"/>
          <w:numId w:val="29"/>
        </w:numPr>
        <w:tabs>
          <w:tab w:val="left" w:pos="1722"/>
          <w:tab w:val="left" w:pos="1723"/>
        </w:tabs>
        <w:autoSpaceDE w:val="0"/>
        <w:autoSpaceDN w:val="0"/>
        <w:rPr>
          <w:sz w:val="24"/>
        </w:rPr>
      </w:pPr>
      <w:r w:rsidRPr="006E3C09">
        <w:rPr>
          <w:sz w:val="24"/>
        </w:rPr>
        <w:t xml:space="preserve">Data Protection </w:t>
      </w:r>
      <w:r>
        <w:rPr>
          <w:sz w:val="24"/>
        </w:rPr>
        <w:t>Handbook</w:t>
      </w:r>
    </w:p>
    <w:p w14:paraId="6F8383AE" w14:textId="77777777" w:rsidR="00693453" w:rsidRPr="00673724" w:rsidRDefault="00150CC7" w:rsidP="00693453">
      <w:pPr>
        <w:pStyle w:val="ListParagraph"/>
        <w:widowControl w:val="0"/>
        <w:numPr>
          <w:ilvl w:val="0"/>
          <w:numId w:val="29"/>
        </w:numPr>
        <w:tabs>
          <w:tab w:val="left" w:pos="1722"/>
          <w:tab w:val="left" w:pos="1723"/>
        </w:tabs>
        <w:autoSpaceDE w:val="0"/>
        <w:autoSpaceDN w:val="0"/>
        <w:rPr>
          <w:color w:val="0070C0"/>
          <w:sz w:val="24"/>
        </w:rPr>
      </w:pPr>
      <w:hyperlink r:id="rId15">
        <w:r w:rsidR="00693453" w:rsidRPr="00673724">
          <w:rPr>
            <w:color w:val="0070C0"/>
            <w:sz w:val="24"/>
            <w:u w:val="single" w:color="0000FF"/>
          </w:rPr>
          <w:t>General Data Protection</w:t>
        </w:r>
        <w:r w:rsidR="00693453" w:rsidRPr="00673724">
          <w:rPr>
            <w:color w:val="0070C0"/>
            <w:spacing w:val="-1"/>
            <w:sz w:val="24"/>
            <w:u w:val="single" w:color="0000FF"/>
          </w:rPr>
          <w:t xml:space="preserve"> </w:t>
        </w:r>
        <w:r w:rsidR="00693453" w:rsidRPr="00673724">
          <w:rPr>
            <w:color w:val="0070C0"/>
            <w:sz w:val="24"/>
            <w:u w:val="single" w:color="0000FF"/>
          </w:rPr>
          <w:t>Regulation</w:t>
        </w:r>
      </w:hyperlink>
    </w:p>
    <w:p w14:paraId="240EA4D0" w14:textId="77777777" w:rsidR="00693453" w:rsidRPr="00673724" w:rsidRDefault="00150CC7" w:rsidP="00693453">
      <w:pPr>
        <w:pStyle w:val="ListParagraph"/>
        <w:widowControl w:val="0"/>
        <w:numPr>
          <w:ilvl w:val="0"/>
          <w:numId w:val="29"/>
        </w:numPr>
        <w:tabs>
          <w:tab w:val="left" w:pos="1722"/>
          <w:tab w:val="left" w:pos="1723"/>
        </w:tabs>
        <w:autoSpaceDE w:val="0"/>
        <w:autoSpaceDN w:val="0"/>
        <w:ind w:right="313"/>
        <w:rPr>
          <w:color w:val="0070C0"/>
          <w:sz w:val="24"/>
        </w:rPr>
      </w:pPr>
      <w:hyperlink r:id="rId16">
        <w:r w:rsidR="00693453" w:rsidRPr="00673724">
          <w:rPr>
            <w:color w:val="0070C0"/>
            <w:sz w:val="24"/>
            <w:u w:val="single" w:color="0000FF"/>
          </w:rPr>
          <w:t xml:space="preserve">Equality Act 2010 </w:t>
        </w:r>
      </w:hyperlink>
      <w:r w:rsidR="00693453" w:rsidRPr="00673724">
        <w:rPr>
          <w:color w:val="0070C0"/>
          <w:sz w:val="24"/>
          <w:u w:val="single" w:color="0000FF"/>
        </w:rPr>
        <w:t xml:space="preserve">and the </w:t>
      </w:r>
      <w:hyperlink r:id="rId17">
        <w:r w:rsidR="00693453" w:rsidRPr="00673724">
          <w:rPr>
            <w:color w:val="0070C0"/>
            <w:sz w:val="24"/>
            <w:u w:val="single" w:color="0000FF"/>
          </w:rPr>
          <w:t>Equality Act 2010 (specific duties) (Scotland)</w:t>
        </w:r>
      </w:hyperlink>
      <w:hyperlink r:id="rId18">
        <w:r w:rsidR="00693453" w:rsidRPr="00673724">
          <w:rPr>
            <w:color w:val="0070C0"/>
            <w:sz w:val="24"/>
            <w:u w:val="single" w:color="0000FF"/>
          </w:rPr>
          <w:t xml:space="preserve"> Regulations</w:t>
        </w:r>
        <w:r w:rsidR="00693453" w:rsidRPr="00673724">
          <w:rPr>
            <w:color w:val="0070C0"/>
            <w:spacing w:val="-1"/>
            <w:sz w:val="24"/>
            <w:u w:val="single" w:color="0000FF"/>
          </w:rPr>
          <w:t xml:space="preserve"> </w:t>
        </w:r>
        <w:r w:rsidR="00693453" w:rsidRPr="00673724">
          <w:rPr>
            <w:color w:val="0070C0"/>
            <w:sz w:val="24"/>
            <w:u w:val="single" w:color="0000FF"/>
          </w:rPr>
          <w:t>2012</w:t>
        </w:r>
      </w:hyperlink>
    </w:p>
    <w:p w14:paraId="60D59355" w14:textId="77777777" w:rsidR="00693453" w:rsidRPr="00673724" w:rsidRDefault="00150CC7" w:rsidP="00693453">
      <w:pPr>
        <w:pStyle w:val="ListParagraph"/>
        <w:widowControl w:val="0"/>
        <w:numPr>
          <w:ilvl w:val="0"/>
          <w:numId w:val="29"/>
        </w:numPr>
        <w:tabs>
          <w:tab w:val="left" w:pos="1722"/>
          <w:tab w:val="left" w:pos="1723"/>
        </w:tabs>
        <w:autoSpaceDE w:val="0"/>
        <w:autoSpaceDN w:val="0"/>
        <w:rPr>
          <w:color w:val="0070C0"/>
          <w:sz w:val="24"/>
        </w:rPr>
      </w:pPr>
      <w:hyperlink r:id="rId19">
        <w:r w:rsidR="00693453" w:rsidRPr="00673724">
          <w:rPr>
            <w:color w:val="0070C0"/>
            <w:sz w:val="24"/>
            <w:u w:val="single" w:color="0000FF"/>
          </w:rPr>
          <w:t>Homelessness etc. (Scotland) Act</w:t>
        </w:r>
        <w:r w:rsidR="00693453" w:rsidRPr="00673724">
          <w:rPr>
            <w:color w:val="0070C0"/>
            <w:spacing w:val="-1"/>
            <w:sz w:val="24"/>
            <w:u w:val="single" w:color="0000FF"/>
          </w:rPr>
          <w:t xml:space="preserve"> </w:t>
        </w:r>
        <w:r w:rsidR="00693453" w:rsidRPr="00673724">
          <w:rPr>
            <w:color w:val="0070C0"/>
            <w:sz w:val="24"/>
            <w:u w:val="single" w:color="0000FF"/>
          </w:rPr>
          <w:t>2003</w:t>
        </w:r>
      </w:hyperlink>
    </w:p>
    <w:p w14:paraId="7C820090" w14:textId="77777777" w:rsidR="00693453" w:rsidRPr="00673724" w:rsidRDefault="00150CC7" w:rsidP="00693453">
      <w:pPr>
        <w:pStyle w:val="ListParagraph"/>
        <w:widowControl w:val="0"/>
        <w:numPr>
          <w:ilvl w:val="0"/>
          <w:numId w:val="29"/>
        </w:numPr>
        <w:tabs>
          <w:tab w:val="left" w:pos="1722"/>
          <w:tab w:val="left" w:pos="1723"/>
        </w:tabs>
        <w:autoSpaceDE w:val="0"/>
        <w:autoSpaceDN w:val="0"/>
        <w:spacing w:line="275" w:lineRule="exact"/>
        <w:rPr>
          <w:color w:val="0070C0"/>
          <w:sz w:val="24"/>
        </w:rPr>
      </w:pPr>
      <w:hyperlink r:id="rId20">
        <w:r w:rsidR="00693453" w:rsidRPr="00673724">
          <w:rPr>
            <w:color w:val="0070C0"/>
            <w:sz w:val="24"/>
            <w:u w:val="single" w:color="0000FF"/>
          </w:rPr>
          <w:t>Housing (Scotland) Act</w:t>
        </w:r>
        <w:r w:rsidR="00693453" w:rsidRPr="00673724">
          <w:rPr>
            <w:color w:val="0070C0"/>
            <w:spacing w:val="-13"/>
            <w:sz w:val="24"/>
            <w:u w:val="single" w:color="0000FF"/>
          </w:rPr>
          <w:t xml:space="preserve"> </w:t>
        </w:r>
        <w:r w:rsidR="00693453" w:rsidRPr="00673724">
          <w:rPr>
            <w:color w:val="0070C0"/>
            <w:sz w:val="24"/>
            <w:u w:val="single" w:color="0000FF"/>
          </w:rPr>
          <w:t>1987</w:t>
        </w:r>
      </w:hyperlink>
    </w:p>
    <w:p w14:paraId="225C889A" w14:textId="77777777" w:rsidR="00693453" w:rsidRPr="00673724" w:rsidRDefault="00150CC7" w:rsidP="00693453">
      <w:pPr>
        <w:pStyle w:val="ListParagraph"/>
        <w:widowControl w:val="0"/>
        <w:numPr>
          <w:ilvl w:val="0"/>
          <w:numId w:val="29"/>
        </w:numPr>
        <w:tabs>
          <w:tab w:val="left" w:pos="1722"/>
          <w:tab w:val="left" w:pos="1723"/>
        </w:tabs>
        <w:autoSpaceDE w:val="0"/>
        <w:autoSpaceDN w:val="0"/>
        <w:spacing w:line="275" w:lineRule="exact"/>
        <w:rPr>
          <w:color w:val="0070C0"/>
          <w:sz w:val="24"/>
        </w:rPr>
      </w:pPr>
      <w:hyperlink r:id="rId21">
        <w:r w:rsidR="00693453" w:rsidRPr="00673724">
          <w:rPr>
            <w:color w:val="0070C0"/>
            <w:sz w:val="24"/>
            <w:u w:val="single" w:color="0000FF"/>
          </w:rPr>
          <w:t>Housing (Scotland) Act</w:t>
        </w:r>
        <w:r w:rsidR="00693453" w:rsidRPr="00673724">
          <w:rPr>
            <w:color w:val="0070C0"/>
            <w:spacing w:val="-11"/>
            <w:sz w:val="24"/>
            <w:u w:val="single" w:color="0000FF"/>
          </w:rPr>
          <w:t xml:space="preserve"> </w:t>
        </w:r>
        <w:r w:rsidR="00693453" w:rsidRPr="00673724">
          <w:rPr>
            <w:color w:val="0070C0"/>
            <w:sz w:val="24"/>
            <w:u w:val="single" w:color="0000FF"/>
          </w:rPr>
          <w:t>2001</w:t>
        </w:r>
      </w:hyperlink>
    </w:p>
    <w:p w14:paraId="52F15230" w14:textId="77777777" w:rsidR="00693453" w:rsidRPr="00673724" w:rsidRDefault="00150CC7" w:rsidP="00693453">
      <w:pPr>
        <w:pStyle w:val="ListParagraph"/>
        <w:widowControl w:val="0"/>
        <w:numPr>
          <w:ilvl w:val="0"/>
          <w:numId w:val="29"/>
        </w:numPr>
        <w:tabs>
          <w:tab w:val="left" w:pos="1722"/>
          <w:tab w:val="left" w:pos="1723"/>
        </w:tabs>
        <w:autoSpaceDE w:val="0"/>
        <w:autoSpaceDN w:val="0"/>
        <w:spacing w:before="2"/>
        <w:ind w:right="504"/>
        <w:rPr>
          <w:color w:val="0070C0"/>
          <w:sz w:val="24"/>
        </w:rPr>
      </w:pPr>
      <w:hyperlink r:id="rId22">
        <w:r w:rsidR="00693453" w:rsidRPr="00673724">
          <w:rPr>
            <w:color w:val="0070C0"/>
            <w:sz w:val="24"/>
            <w:u w:val="single" w:color="000000"/>
          </w:rPr>
          <w:t>Housing (Scotland) Act 2001 ‘Homelessness Section 5: Guidance on</w:t>
        </w:r>
      </w:hyperlink>
      <w:hyperlink r:id="rId23">
        <w:r w:rsidR="00693453" w:rsidRPr="00673724">
          <w:rPr>
            <w:color w:val="0070C0"/>
            <w:sz w:val="24"/>
            <w:u w:val="single" w:color="000000"/>
          </w:rPr>
          <w:t xml:space="preserve"> Good</w:t>
        </w:r>
        <w:r w:rsidR="00693453" w:rsidRPr="00673724">
          <w:rPr>
            <w:color w:val="0070C0"/>
            <w:spacing w:val="-2"/>
            <w:sz w:val="24"/>
            <w:u w:val="single" w:color="000000"/>
          </w:rPr>
          <w:t xml:space="preserve"> </w:t>
        </w:r>
        <w:r w:rsidR="00693453" w:rsidRPr="00673724">
          <w:rPr>
            <w:color w:val="0070C0"/>
            <w:sz w:val="24"/>
            <w:u w:val="single" w:color="000000"/>
          </w:rPr>
          <w:t>Reason’</w:t>
        </w:r>
      </w:hyperlink>
    </w:p>
    <w:p w14:paraId="0EEAD7E7" w14:textId="77777777" w:rsidR="00693453" w:rsidRPr="00673724" w:rsidRDefault="00150CC7" w:rsidP="00693453">
      <w:pPr>
        <w:pStyle w:val="ListParagraph"/>
        <w:widowControl w:val="0"/>
        <w:numPr>
          <w:ilvl w:val="0"/>
          <w:numId w:val="29"/>
        </w:numPr>
        <w:tabs>
          <w:tab w:val="left" w:pos="1722"/>
          <w:tab w:val="left" w:pos="1723"/>
        </w:tabs>
        <w:autoSpaceDE w:val="0"/>
        <w:autoSpaceDN w:val="0"/>
        <w:rPr>
          <w:color w:val="0070C0"/>
          <w:sz w:val="24"/>
        </w:rPr>
      </w:pPr>
      <w:hyperlink r:id="rId24">
        <w:r w:rsidR="00693453" w:rsidRPr="00673724">
          <w:rPr>
            <w:color w:val="0070C0"/>
            <w:sz w:val="24"/>
            <w:u w:val="single" w:color="0000FF"/>
          </w:rPr>
          <w:t>Housing (Scotland) Act</w:t>
        </w:r>
        <w:r w:rsidR="00693453" w:rsidRPr="00673724">
          <w:rPr>
            <w:color w:val="0070C0"/>
            <w:spacing w:val="-5"/>
            <w:sz w:val="24"/>
            <w:u w:val="single" w:color="0000FF"/>
          </w:rPr>
          <w:t xml:space="preserve"> </w:t>
        </w:r>
        <w:r w:rsidR="00693453" w:rsidRPr="00673724">
          <w:rPr>
            <w:color w:val="0070C0"/>
            <w:sz w:val="24"/>
            <w:u w:val="single" w:color="0000FF"/>
          </w:rPr>
          <w:t>2006</w:t>
        </w:r>
      </w:hyperlink>
    </w:p>
    <w:p w14:paraId="626971F0" w14:textId="2519F839" w:rsidR="00693453" w:rsidRPr="00673724" w:rsidRDefault="00150CC7" w:rsidP="00693453">
      <w:pPr>
        <w:pStyle w:val="ListParagraph"/>
        <w:widowControl w:val="0"/>
        <w:numPr>
          <w:ilvl w:val="0"/>
          <w:numId w:val="29"/>
        </w:numPr>
        <w:tabs>
          <w:tab w:val="left" w:pos="1722"/>
          <w:tab w:val="left" w:pos="1723"/>
        </w:tabs>
        <w:autoSpaceDE w:val="0"/>
        <w:autoSpaceDN w:val="0"/>
        <w:rPr>
          <w:color w:val="0070C0"/>
          <w:sz w:val="24"/>
        </w:rPr>
      </w:pPr>
      <w:hyperlink r:id="rId25" w:history="1">
        <w:r w:rsidR="00693453" w:rsidRPr="005B068B">
          <w:rPr>
            <w:rStyle w:val="Hyperlink"/>
            <w:sz w:val="24"/>
          </w:rPr>
          <w:t>Housing Scotland) Act</w:t>
        </w:r>
        <w:r w:rsidR="00693453" w:rsidRPr="005B068B">
          <w:rPr>
            <w:rStyle w:val="Hyperlink"/>
            <w:spacing w:val="-5"/>
            <w:sz w:val="24"/>
          </w:rPr>
          <w:t xml:space="preserve"> </w:t>
        </w:r>
        <w:r w:rsidR="00693453" w:rsidRPr="005B068B">
          <w:rPr>
            <w:rStyle w:val="Hyperlink"/>
            <w:sz w:val="24"/>
          </w:rPr>
          <w:t>2010</w:t>
        </w:r>
      </w:hyperlink>
    </w:p>
    <w:p w14:paraId="0244E6CC" w14:textId="77777777" w:rsidR="00693453" w:rsidRPr="00673724" w:rsidRDefault="00150CC7" w:rsidP="00693453">
      <w:pPr>
        <w:pStyle w:val="ListParagraph"/>
        <w:widowControl w:val="0"/>
        <w:numPr>
          <w:ilvl w:val="0"/>
          <w:numId w:val="29"/>
        </w:numPr>
        <w:tabs>
          <w:tab w:val="left" w:pos="1722"/>
          <w:tab w:val="left" w:pos="1723"/>
        </w:tabs>
        <w:autoSpaceDE w:val="0"/>
        <w:autoSpaceDN w:val="0"/>
        <w:rPr>
          <w:color w:val="0070C0"/>
          <w:sz w:val="24"/>
        </w:rPr>
      </w:pPr>
      <w:hyperlink r:id="rId26">
        <w:r w:rsidR="00693453" w:rsidRPr="00673724">
          <w:rPr>
            <w:color w:val="0070C0"/>
            <w:sz w:val="24"/>
            <w:u w:val="single" w:color="0000FF"/>
          </w:rPr>
          <w:t>Housing (Scotland) Act</w:t>
        </w:r>
        <w:r w:rsidR="00693453" w:rsidRPr="00673724">
          <w:rPr>
            <w:color w:val="0070C0"/>
            <w:spacing w:val="-5"/>
            <w:sz w:val="24"/>
            <w:u w:val="single" w:color="0000FF"/>
          </w:rPr>
          <w:t xml:space="preserve"> </w:t>
        </w:r>
        <w:r w:rsidR="00693453" w:rsidRPr="00673724">
          <w:rPr>
            <w:color w:val="0070C0"/>
            <w:sz w:val="24"/>
            <w:u w:val="single" w:color="0000FF"/>
          </w:rPr>
          <w:t>2014</w:t>
        </w:r>
      </w:hyperlink>
    </w:p>
    <w:p w14:paraId="2856D516" w14:textId="77777777" w:rsidR="00693453" w:rsidRPr="00673724" w:rsidRDefault="00150CC7" w:rsidP="00693453">
      <w:pPr>
        <w:pStyle w:val="ListParagraph"/>
        <w:widowControl w:val="0"/>
        <w:numPr>
          <w:ilvl w:val="0"/>
          <w:numId w:val="29"/>
        </w:numPr>
        <w:tabs>
          <w:tab w:val="left" w:pos="1722"/>
          <w:tab w:val="left" w:pos="1723"/>
        </w:tabs>
        <w:autoSpaceDE w:val="0"/>
        <w:autoSpaceDN w:val="0"/>
        <w:rPr>
          <w:color w:val="0070C0"/>
          <w:sz w:val="24"/>
        </w:rPr>
      </w:pPr>
      <w:hyperlink r:id="rId27">
        <w:r w:rsidR="00693453" w:rsidRPr="00673724">
          <w:rPr>
            <w:color w:val="0070C0"/>
            <w:sz w:val="24"/>
            <w:u w:val="single" w:color="0000FF"/>
          </w:rPr>
          <w:t>Human Rights Act</w:t>
        </w:r>
        <w:r w:rsidR="00693453" w:rsidRPr="00673724">
          <w:rPr>
            <w:color w:val="0070C0"/>
            <w:spacing w:val="-2"/>
            <w:sz w:val="24"/>
            <w:u w:val="single" w:color="0000FF"/>
          </w:rPr>
          <w:t xml:space="preserve"> </w:t>
        </w:r>
        <w:r w:rsidR="00693453" w:rsidRPr="00673724">
          <w:rPr>
            <w:color w:val="0070C0"/>
            <w:sz w:val="24"/>
            <w:u w:val="single" w:color="0000FF"/>
          </w:rPr>
          <w:t>1998</w:t>
        </w:r>
      </w:hyperlink>
    </w:p>
    <w:p w14:paraId="26397095" w14:textId="77777777" w:rsidR="00693453" w:rsidRPr="00673724" w:rsidRDefault="00150CC7" w:rsidP="00693453">
      <w:pPr>
        <w:pStyle w:val="ListParagraph"/>
        <w:widowControl w:val="0"/>
        <w:numPr>
          <w:ilvl w:val="0"/>
          <w:numId w:val="29"/>
        </w:numPr>
        <w:tabs>
          <w:tab w:val="left" w:pos="1722"/>
          <w:tab w:val="left" w:pos="1723"/>
        </w:tabs>
        <w:autoSpaceDE w:val="0"/>
        <w:autoSpaceDN w:val="0"/>
        <w:ind w:right="410"/>
        <w:rPr>
          <w:color w:val="0070C0"/>
          <w:sz w:val="24"/>
        </w:rPr>
      </w:pPr>
      <w:hyperlink r:id="rId28">
        <w:r w:rsidR="00693453" w:rsidRPr="00673724">
          <w:rPr>
            <w:color w:val="0070C0"/>
            <w:sz w:val="24"/>
            <w:u w:val="single" w:color="0000FF"/>
          </w:rPr>
          <w:t>The Legal Framework for Social Housing Allocations, Statutory</w:t>
        </w:r>
      </w:hyperlink>
      <w:hyperlink r:id="rId29">
        <w:r w:rsidR="00693453" w:rsidRPr="00673724">
          <w:rPr>
            <w:color w:val="0070C0"/>
            <w:sz w:val="24"/>
            <w:u w:val="single" w:color="0000FF"/>
          </w:rPr>
          <w:t xml:space="preserve"> Guidance for Social Landlords. Housing (Scotland) Act 2014 (Scottish</w:t>
        </w:r>
      </w:hyperlink>
      <w:hyperlink r:id="rId30">
        <w:r w:rsidR="00693453" w:rsidRPr="00673724">
          <w:rPr>
            <w:color w:val="0070C0"/>
            <w:sz w:val="24"/>
            <w:u w:val="single" w:color="0000FF"/>
          </w:rPr>
          <w:t xml:space="preserve"> Government 2018)</w:t>
        </w:r>
      </w:hyperlink>
    </w:p>
    <w:p w14:paraId="04A0C878" w14:textId="77777777" w:rsidR="00693453" w:rsidRPr="00673724" w:rsidRDefault="00150CC7" w:rsidP="00693453">
      <w:pPr>
        <w:pStyle w:val="ListParagraph"/>
        <w:widowControl w:val="0"/>
        <w:numPr>
          <w:ilvl w:val="0"/>
          <w:numId w:val="29"/>
        </w:numPr>
        <w:tabs>
          <w:tab w:val="left" w:pos="1722"/>
          <w:tab w:val="left" w:pos="1723"/>
        </w:tabs>
        <w:autoSpaceDE w:val="0"/>
        <w:autoSpaceDN w:val="0"/>
        <w:rPr>
          <w:color w:val="0070C0"/>
          <w:sz w:val="24"/>
        </w:rPr>
      </w:pPr>
      <w:hyperlink r:id="rId31">
        <w:r w:rsidR="00693453" w:rsidRPr="00673724">
          <w:rPr>
            <w:color w:val="0070C0"/>
            <w:sz w:val="24"/>
            <w:u w:val="single" w:color="0000FF"/>
          </w:rPr>
          <w:t>Looked After Children (Scotland) Regulations</w:t>
        </w:r>
        <w:r w:rsidR="00693453" w:rsidRPr="00673724">
          <w:rPr>
            <w:color w:val="0070C0"/>
            <w:spacing w:val="-27"/>
            <w:sz w:val="24"/>
            <w:u w:val="single" w:color="0000FF"/>
          </w:rPr>
          <w:t xml:space="preserve"> </w:t>
        </w:r>
        <w:r w:rsidR="00693453" w:rsidRPr="00673724">
          <w:rPr>
            <w:color w:val="0070C0"/>
            <w:sz w:val="24"/>
            <w:u w:val="single" w:color="0000FF"/>
          </w:rPr>
          <w:t>2009</w:t>
        </w:r>
      </w:hyperlink>
    </w:p>
    <w:p w14:paraId="273749E2" w14:textId="77777777" w:rsidR="00693453" w:rsidRPr="00673724" w:rsidRDefault="00150CC7" w:rsidP="00693453">
      <w:pPr>
        <w:pStyle w:val="ListParagraph"/>
        <w:widowControl w:val="0"/>
        <w:numPr>
          <w:ilvl w:val="0"/>
          <w:numId w:val="29"/>
        </w:numPr>
        <w:tabs>
          <w:tab w:val="left" w:pos="1722"/>
          <w:tab w:val="left" w:pos="1723"/>
        </w:tabs>
        <w:autoSpaceDE w:val="0"/>
        <w:autoSpaceDN w:val="0"/>
        <w:rPr>
          <w:color w:val="0070C0"/>
          <w:sz w:val="24"/>
        </w:rPr>
      </w:pPr>
      <w:hyperlink r:id="rId32">
        <w:r w:rsidR="00693453" w:rsidRPr="00673724">
          <w:rPr>
            <w:color w:val="0070C0"/>
            <w:sz w:val="24"/>
            <w:u w:val="single" w:color="0000FF"/>
          </w:rPr>
          <w:t>Management of Offenders etc. (Scotland) Act</w:t>
        </w:r>
        <w:r w:rsidR="00693453" w:rsidRPr="00673724">
          <w:rPr>
            <w:color w:val="0070C0"/>
            <w:spacing w:val="-24"/>
            <w:sz w:val="24"/>
            <w:u w:val="single" w:color="0000FF"/>
          </w:rPr>
          <w:t xml:space="preserve"> </w:t>
        </w:r>
        <w:r w:rsidR="00693453" w:rsidRPr="00673724">
          <w:rPr>
            <w:color w:val="0070C0"/>
            <w:sz w:val="24"/>
            <w:u w:val="single" w:color="0000FF"/>
          </w:rPr>
          <w:t>2005</w:t>
        </w:r>
      </w:hyperlink>
    </w:p>
    <w:p w14:paraId="0F1A35FA" w14:textId="1D61D1E3" w:rsidR="00693453" w:rsidRPr="00673724" w:rsidRDefault="00150CC7" w:rsidP="00693453">
      <w:pPr>
        <w:pStyle w:val="ListParagraph"/>
        <w:widowControl w:val="0"/>
        <w:numPr>
          <w:ilvl w:val="0"/>
          <w:numId w:val="29"/>
        </w:numPr>
        <w:tabs>
          <w:tab w:val="left" w:pos="1723"/>
        </w:tabs>
        <w:autoSpaceDE w:val="0"/>
        <w:autoSpaceDN w:val="0"/>
        <w:ind w:right="819"/>
        <w:jc w:val="both"/>
        <w:rPr>
          <w:color w:val="0070C0"/>
          <w:sz w:val="24"/>
        </w:rPr>
      </w:pPr>
      <w:hyperlink r:id="rId33" w:history="1">
        <w:r w:rsidR="00224249" w:rsidRPr="00224249">
          <w:rPr>
            <w:rStyle w:val="Hyperlink"/>
            <w:sz w:val="24"/>
          </w:rPr>
          <w:t>Minimum period for applications to remain in force - suspensions under section 20B of the Housing (Scotland) Act 1987: statutory guidance</w:t>
        </w:r>
      </w:hyperlink>
    </w:p>
    <w:p w14:paraId="7B95673F" w14:textId="77777777" w:rsidR="00693453" w:rsidRPr="00673724" w:rsidRDefault="00150CC7" w:rsidP="00693453">
      <w:pPr>
        <w:pStyle w:val="ListParagraph"/>
        <w:widowControl w:val="0"/>
        <w:numPr>
          <w:ilvl w:val="0"/>
          <w:numId w:val="29"/>
        </w:numPr>
        <w:tabs>
          <w:tab w:val="left" w:pos="1723"/>
        </w:tabs>
        <w:autoSpaceDE w:val="0"/>
        <w:autoSpaceDN w:val="0"/>
        <w:jc w:val="both"/>
        <w:rPr>
          <w:color w:val="0070C0"/>
          <w:sz w:val="24"/>
        </w:rPr>
      </w:pPr>
      <w:hyperlink r:id="rId34">
        <w:r w:rsidR="00693453" w:rsidRPr="00673724">
          <w:rPr>
            <w:color w:val="0070C0"/>
            <w:sz w:val="24"/>
            <w:u w:val="single" w:color="0000FF"/>
          </w:rPr>
          <w:t>Scottish Government’s Code of Guidance on Homelessness</w:t>
        </w:r>
        <w:r w:rsidR="00693453" w:rsidRPr="00673724">
          <w:rPr>
            <w:color w:val="0070C0"/>
            <w:spacing w:val="-13"/>
            <w:sz w:val="24"/>
            <w:u w:val="single" w:color="0000FF"/>
          </w:rPr>
          <w:t xml:space="preserve"> </w:t>
        </w:r>
        <w:r w:rsidR="00693453" w:rsidRPr="00673724">
          <w:rPr>
            <w:color w:val="0070C0"/>
            <w:sz w:val="24"/>
            <w:u w:val="single" w:color="0000FF"/>
          </w:rPr>
          <w:t>2005</w:t>
        </w:r>
      </w:hyperlink>
    </w:p>
    <w:p w14:paraId="2DA6DB44" w14:textId="77777777" w:rsidR="00693453" w:rsidRPr="00673724" w:rsidRDefault="00150CC7" w:rsidP="00693453">
      <w:pPr>
        <w:pStyle w:val="ListParagraph"/>
        <w:widowControl w:val="0"/>
        <w:numPr>
          <w:ilvl w:val="0"/>
          <w:numId w:val="29"/>
        </w:numPr>
        <w:tabs>
          <w:tab w:val="left" w:pos="1723"/>
        </w:tabs>
        <w:autoSpaceDE w:val="0"/>
        <w:autoSpaceDN w:val="0"/>
        <w:jc w:val="both"/>
        <w:rPr>
          <w:color w:val="0070C0"/>
          <w:sz w:val="24"/>
        </w:rPr>
      </w:pPr>
      <w:hyperlink r:id="rId35">
        <w:r w:rsidR="00693453" w:rsidRPr="00673724">
          <w:rPr>
            <w:color w:val="0070C0"/>
            <w:sz w:val="24"/>
            <w:u w:val="single" w:color="0000FF"/>
          </w:rPr>
          <w:t>The Scottish Social Housing Charter</w:t>
        </w:r>
        <w:r w:rsidR="00693453" w:rsidRPr="00673724">
          <w:rPr>
            <w:color w:val="0070C0"/>
            <w:spacing w:val="-4"/>
            <w:sz w:val="24"/>
            <w:u w:val="single" w:color="0000FF"/>
          </w:rPr>
          <w:t xml:space="preserve"> </w:t>
        </w:r>
        <w:r w:rsidR="00693453" w:rsidRPr="00673724">
          <w:rPr>
            <w:color w:val="0070C0"/>
            <w:sz w:val="24"/>
            <w:u w:val="single" w:color="0000FF"/>
          </w:rPr>
          <w:t>(2017)</w:t>
        </w:r>
      </w:hyperlink>
    </w:p>
    <w:p w14:paraId="75369172" w14:textId="77777777" w:rsidR="00693453" w:rsidRPr="00673724" w:rsidRDefault="00150CC7" w:rsidP="00693453">
      <w:pPr>
        <w:pStyle w:val="ListParagraph"/>
        <w:widowControl w:val="0"/>
        <w:numPr>
          <w:ilvl w:val="0"/>
          <w:numId w:val="29"/>
        </w:numPr>
        <w:tabs>
          <w:tab w:val="left" w:pos="1723"/>
        </w:tabs>
        <w:autoSpaceDE w:val="0"/>
        <w:autoSpaceDN w:val="0"/>
        <w:ind w:right="225"/>
        <w:jc w:val="both"/>
        <w:rPr>
          <w:color w:val="0070C0"/>
          <w:sz w:val="24"/>
        </w:rPr>
      </w:pPr>
      <w:hyperlink r:id="rId36">
        <w:r w:rsidR="00693453" w:rsidRPr="00673724">
          <w:rPr>
            <w:color w:val="0070C0"/>
            <w:sz w:val="24"/>
            <w:u w:val="single" w:color="0000FF"/>
          </w:rPr>
          <w:t>Scottish Government Social Housing Allocations in Scotland: A practice</w:t>
        </w:r>
      </w:hyperlink>
      <w:hyperlink r:id="rId37">
        <w:r w:rsidR="00693453" w:rsidRPr="00673724">
          <w:rPr>
            <w:color w:val="0070C0"/>
            <w:sz w:val="24"/>
            <w:u w:val="single" w:color="0000FF"/>
          </w:rPr>
          <w:t xml:space="preserve"> guide February</w:t>
        </w:r>
        <w:r w:rsidR="00693453" w:rsidRPr="00673724">
          <w:rPr>
            <w:color w:val="0070C0"/>
            <w:spacing w:val="-2"/>
            <w:sz w:val="24"/>
            <w:u w:val="single" w:color="0000FF"/>
          </w:rPr>
          <w:t xml:space="preserve"> </w:t>
        </w:r>
        <w:r w:rsidR="00693453" w:rsidRPr="00673724">
          <w:rPr>
            <w:color w:val="0070C0"/>
            <w:sz w:val="24"/>
            <w:u w:val="single" w:color="0000FF"/>
          </w:rPr>
          <w:t>2019</w:t>
        </w:r>
      </w:hyperlink>
    </w:p>
    <w:p w14:paraId="4976C923" w14:textId="309C5D0C" w:rsidR="00693453" w:rsidRPr="005B068B" w:rsidRDefault="00693453" w:rsidP="00693453">
      <w:pPr>
        <w:pStyle w:val="ListParagraph"/>
        <w:widowControl w:val="0"/>
        <w:numPr>
          <w:ilvl w:val="0"/>
          <w:numId w:val="29"/>
        </w:numPr>
        <w:tabs>
          <w:tab w:val="left" w:pos="1723"/>
        </w:tabs>
        <w:autoSpaceDE w:val="0"/>
        <w:autoSpaceDN w:val="0"/>
        <w:jc w:val="both"/>
        <w:rPr>
          <w:sz w:val="24"/>
        </w:rPr>
      </w:pPr>
      <w:r w:rsidRPr="005B068B">
        <w:rPr>
          <w:sz w:val="24"/>
        </w:rPr>
        <w:t>Suspending Housing Applicants: A Practical Guide (CIH</w:t>
      </w:r>
      <w:r w:rsidR="005B068B">
        <w:rPr>
          <w:spacing w:val="-20"/>
          <w:sz w:val="24"/>
        </w:rPr>
        <w:t>)</w:t>
      </w:r>
    </w:p>
    <w:p w14:paraId="7070362D" w14:textId="77777777" w:rsidR="00840B80" w:rsidRPr="0045212D" w:rsidRDefault="00840B80" w:rsidP="00840B80">
      <w:pPr>
        <w:pStyle w:val="Default"/>
        <w:ind w:left="1418"/>
      </w:pPr>
    </w:p>
    <w:p w14:paraId="3DAFFFB6" w14:textId="327FDBDC" w:rsidR="0045212D" w:rsidRDefault="00E75714" w:rsidP="00E75714">
      <w:pPr>
        <w:pStyle w:val="Default"/>
        <w:numPr>
          <w:ilvl w:val="2"/>
          <w:numId w:val="11"/>
        </w:numPr>
        <w:ind w:left="709" w:hanging="709"/>
      </w:pPr>
      <w:r w:rsidRPr="0045212D">
        <w:rPr>
          <w:lang w:eastAsia="ja-JP"/>
        </w:rPr>
        <w:t xml:space="preserve">In implementing this policy WSHA complies with The Scottish Social Housing Charter outcome </w:t>
      </w:r>
      <w:r w:rsidR="003627D5">
        <w:rPr>
          <w:lang w:eastAsia="ja-JP"/>
        </w:rPr>
        <w:t>7, 8, 9 and 10, all related to ‘</w:t>
      </w:r>
      <w:r w:rsidR="003627D5" w:rsidRPr="003627D5">
        <w:rPr>
          <w:lang w:eastAsia="ja-JP"/>
        </w:rPr>
        <w:t>Access to housing and support</w:t>
      </w:r>
      <w:r w:rsidR="003627D5">
        <w:rPr>
          <w:lang w:eastAsia="ja-JP"/>
        </w:rPr>
        <w:t>’</w:t>
      </w:r>
      <w:r w:rsidRPr="0045212D">
        <w:rPr>
          <w:lang w:eastAsia="ja-JP"/>
        </w:rPr>
        <w:t>.</w:t>
      </w:r>
    </w:p>
    <w:p w14:paraId="098108D5" w14:textId="77777777" w:rsidR="0045212D" w:rsidRDefault="0045212D" w:rsidP="0045212D">
      <w:pPr>
        <w:pStyle w:val="Default"/>
        <w:ind w:left="709"/>
      </w:pPr>
    </w:p>
    <w:p w14:paraId="65DEB2A0" w14:textId="1BC1A57C" w:rsidR="0045212D" w:rsidRPr="0045212D" w:rsidRDefault="00E86FCD" w:rsidP="00E75714">
      <w:pPr>
        <w:pStyle w:val="Default"/>
        <w:numPr>
          <w:ilvl w:val="0"/>
          <w:numId w:val="1"/>
        </w:numPr>
        <w:ind w:left="709" w:hanging="709"/>
      </w:pPr>
      <w:bookmarkStart w:id="4" w:name="Equalities"/>
      <w:r>
        <w:rPr>
          <w:b/>
          <w:bCs/>
          <w:lang w:eastAsia="ja-JP"/>
        </w:rPr>
        <w:t>Equalities</w:t>
      </w:r>
    </w:p>
    <w:bookmarkEnd w:id="4"/>
    <w:p w14:paraId="273B83F3" w14:textId="77777777" w:rsidR="0045212D" w:rsidRPr="0045212D" w:rsidRDefault="0045212D" w:rsidP="0045212D">
      <w:pPr>
        <w:pStyle w:val="Default"/>
        <w:ind w:left="709"/>
      </w:pPr>
    </w:p>
    <w:p w14:paraId="5C627223" w14:textId="7BD5BB51" w:rsidR="002223C6" w:rsidRPr="00A64747" w:rsidRDefault="002223C6" w:rsidP="002223C6">
      <w:pPr>
        <w:pStyle w:val="Default"/>
        <w:numPr>
          <w:ilvl w:val="1"/>
          <w:numId w:val="1"/>
        </w:numPr>
        <w:ind w:left="709" w:hanging="709"/>
        <w:rPr>
          <w:b/>
          <w:bCs/>
        </w:rPr>
      </w:pPr>
      <w:r>
        <w:t>We will not un</w:t>
      </w:r>
      <w:r w:rsidR="009F0CC7">
        <w:t>lawfu</w:t>
      </w:r>
      <w:r>
        <w:t>l</w:t>
      </w:r>
      <w:r w:rsidR="009F0CC7">
        <w:t>l</w:t>
      </w:r>
      <w:r>
        <w:t>y discriminate against any person within the protected characteristic groups as contained within the Equality Act 2010. To ensure equal access to the information contained in this policy for all, we are happy to provide copies in Braille, in larger print, translated into other languages or on tape to you or anybody that you know upon request and where practicable.</w:t>
      </w:r>
    </w:p>
    <w:p w14:paraId="47C1A026" w14:textId="77777777" w:rsidR="002223C6" w:rsidRPr="00A64747" w:rsidRDefault="002223C6" w:rsidP="002223C6">
      <w:pPr>
        <w:pStyle w:val="Default"/>
        <w:ind w:left="709"/>
        <w:rPr>
          <w:b/>
          <w:bCs/>
        </w:rPr>
      </w:pPr>
    </w:p>
    <w:p w14:paraId="6A29C02C" w14:textId="265D4E8D" w:rsidR="002223C6" w:rsidRPr="00A64747" w:rsidRDefault="002223C6" w:rsidP="002223C6">
      <w:pPr>
        <w:numPr>
          <w:ilvl w:val="1"/>
          <w:numId w:val="1"/>
        </w:numPr>
        <w:ind w:left="709" w:hanging="709"/>
        <w:rPr>
          <w:rFonts w:cs="Arial"/>
          <w:color w:val="000000"/>
          <w:sz w:val="24"/>
          <w:szCs w:val="24"/>
          <w:lang w:eastAsia="en-GB"/>
        </w:rPr>
      </w:pPr>
      <w:r w:rsidRPr="00A64747">
        <w:rPr>
          <w:rFonts w:cs="Arial"/>
          <w:color w:val="000000"/>
          <w:sz w:val="24"/>
          <w:szCs w:val="24"/>
          <w:lang w:eastAsia="en-GB"/>
        </w:rPr>
        <w:t xml:space="preserve">WSHA will seek to ensure that </w:t>
      </w:r>
      <w:r w:rsidR="003627D5">
        <w:rPr>
          <w:rFonts w:cs="Arial"/>
          <w:color w:val="000000"/>
          <w:sz w:val="24"/>
          <w:szCs w:val="24"/>
          <w:lang w:eastAsia="en-GB"/>
        </w:rPr>
        <w:t xml:space="preserve">allocations </w:t>
      </w:r>
      <w:r w:rsidRPr="00A64747">
        <w:rPr>
          <w:rFonts w:cs="Arial"/>
          <w:color w:val="000000"/>
          <w:sz w:val="24"/>
          <w:szCs w:val="24"/>
          <w:lang w:eastAsia="en-GB"/>
        </w:rPr>
        <w:t>are managed in a manner that is fair to all sections of the community regardless of age</w:t>
      </w:r>
      <w:r>
        <w:rPr>
          <w:rFonts w:cs="Arial"/>
          <w:color w:val="000000"/>
          <w:sz w:val="24"/>
          <w:szCs w:val="24"/>
          <w:lang w:eastAsia="en-GB"/>
        </w:rPr>
        <w:t xml:space="preserve">, </w:t>
      </w:r>
      <w:r w:rsidRPr="00A64747">
        <w:rPr>
          <w:rFonts w:cs="Arial"/>
          <w:color w:val="000000"/>
          <w:sz w:val="24"/>
          <w:szCs w:val="24"/>
          <w:lang w:eastAsia="en-GB"/>
        </w:rPr>
        <w:t>disability</w:t>
      </w:r>
      <w:r>
        <w:rPr>
          <w:rFonts w:cs="Arial"/>
          <w:color w:val="000000"/>
          <w:sz w:val="24"/>
          <w:szCs w:val="24"/>
          <w:lang w:eastAsia="en-GB"/>
        </w:rPr>
        <w:t xml:space="preserve">, </w:t>
      </w:r>
      <w:r w:rsidRPr="00A64747">
        <w:rPr>
          <w:rFonts w:cs="Arial"/>
          <w:color w:val="000000"/>
          <w:sz w:val="24"/>
          <w:szCs w:val="24"/>
          <w:lang w:eastAsia="en-GB"/>
        </w:rPr>
        <w:t>gender reassignment</w:t>
      </w:r>
      <w:r>
        <w:rPr>
          <w:rFonts w:cs="Arial"/>
          <w:color w:val="000000"/>
          <w:sz w:val="24"/>
          <w:szCs w:val="24"/>
          <w:lang w:eastAsia="en-GB"/>
        </w:rPr>
        <w:t xml:space="preserve">, </w:t>
      </w:r>
      <w:r w:rsidRPr="00A64747">
        <w:rPr>
          <w:rFonts w:cs="Arial"/>
          <w:color w:val="000000"/>
          <w:sz w:val="24"/>
          <w:szCs w:val="24"/>
          <w:lang w:eastAsia="en-GB"/>
        </w:rPr>
        <w:t>marriage and civil partnership</w:t>
      </w:r>
      <w:r>
        <w:rPr>
          <w:rFonts w:cs="Arial"/>
          <w:color w:val="000000"/>
          <w:sz w:val="24"/>
          <w:szCs w:val="24"/>
          <w:lang w:eastAsia="en-GB"/>
        </w:rPr>
        <w:t xml:space="preserve">, </w:t>
      </w:r>
      <w:r w:rsidRPr="00A64747">
        <w:rPr>
          <w:rFonts w:cs="Arial"/>
          <w:color w:val="000000"/>
          <w:sz w:val="24"/>
          <w:szCs w:val="24"/>
          <w:lang w:eastAsia="en-GB"/>
        </w:rPr>
        <w:t>pregnancy and maternity</w:t>
      </w:r>
      <w:r>
        <w:rPr>
          <w:rFonts w:cs="Arial"/>
          <w:color w:val="000000"/>
          <w:sz w:val="24"/>
          <w:szCs w:val="24"/>
          <w:lang w:eastAsia="en-GB"/>
        </w:rPr>
        <w:t xml:space="preserve">, </w:t>
      </w:r>
      <w:r w:rsidRPr="00A64747">
        <w:rPr>
          <w:rFonts w:cs="Arial"/>
          <w:color w:val="000000"/>
          <w:sz w:val="24"/>
          <w:szCs w:val="24"/>
          <w:lang w:eastAsia="en-GB"/>
        </w:rPr>
        <w:t>race</w:t>
      </w:r>
      <w:r>
        <w:rPr>
          <w:rFonts w:cs="Arial"/>
          <w:color w:val="000000"/>
          <w:sz w:val="24"/>
          <w:szCs w:val="24"/>
          <w:lang w:eastAsia="en-GB"/>
        </w:rPr>
        <w:t xml:space="preserve">, </w:t>
      </w:r>
      <w:r w:rsidRPr="00A64747">
        <w:rPr>
          <w:rFonts w:cs="Arial"/>
          <w:color w:val="000000"/>
          <w:sz w:val="24"/>
          <w:szCs w:val="24"/>
          <w:lang w:eastAsia="en-GB"/>
        </w:rPr>
        <w:t>religion or belief</w:t>
      </w:r>
      <w:r>
        <w:rPr>
          <w:rFonts w:cs="Arial"/>
          <w:color w:val="000000"/>
          <w:sz w:val="24"/>
          <w:szCs w:val="24"/>
          <w:lang w:eastAsia="en-GB"/>
        </w:rPr>
        <w:t xml:space="preserve">, </w:t>
      </w:r>
      <w:r w:rsidRPr="00A64747">
        <w:rPr>
          <w:rFonts w:cs="Arial"/>
          <w:color w:val="000000"/>
          <w:sz w:val="24"/>
          <w:szCs w:val="24"/>
          <w:lang w:eastAsia="en-GB"/>
        </w:rPr>
        <w:t>sex</w:t>
      </w:r>
      <w:r>
        <w:rPr>
          <w:rFonts w:cs="Arial"/>
          <w:color w:val="000000"/>
          <w:sz w:val="24"/>
          <w:szCs w:val="24"/>
          <w:lang w:eastAsia="en-GB"/>
        </w:rPr>
        <w:t xml:space="preserve"> or </w:t>
      </w:r>
      <w:r w:rsidRPr="00A64747">
        <w:rPr>
          <w:rFonts w:cs="Arial"/>
          <w:color w:val="000000"/>
          <w:sz w:val="24"/>
          <w:szCs w:val="24"/>
          <w:lang w:eastAsia="en-GB"/>
        </w:rPr>
        <w:t xml:space="preserve">sexual orientation. </w:t>
      </w:r>
    </w:p>
    <w:p w14:paraId="5EBE472D" w14:textId="77777777" w:rsidR="002223C6" w:rsidRDefault="002223C6" w:rsidP="002223C6">
      <w:pPr>
        <w:pStyle w:val="ListParagraph"/>
        <w:ind w:left="0"/>
      </w:pPr>
    </w:p>
    <w:p w14:paraId="44BD7877" w14:textId="77777777" w:rsidR="002223C6" w:rsidRPr="00A64747" w:rsidRDefault="002223C6" w:rsidP="002223C6">
      <w:pPr>
        <w:pStyle w:val="Default"/>
        <w:numPr>
          <w:ilvl w:val="1"/>
          <w:numId w:val="1"/>
        </w:numPr>
        <w:ind w:left="709" w:hanging="709"/>
        <w:rPr>
          <w:b/>
          <w:bCs/>
        </w:rPr>
      </w:pPr>
      <w:r>
        <w:t xml:space="preserve"> As with all Association policies and practices, the Association will adhere to Outcome 1 of the Scottish Social Housing Charter (Equalities):</w:t>
      </w:r>
    </w:p>
    <w:p w14:paraId="33C35562" w14:textId="77777777" w:rsidR="002223C6" w:rsidRDefault="002223C6" w:rsidP="002223C6">
      <w:pPr>
        <w:pStyle w:val="Default"/>
      </w:pPr>
    </w:p>
    <w:p w14:paraId="67AF5682" w14:textId="77777777" w:rsidR="002223C6" w:rsidRDefault="002223C6" w:rsidP="002223C6">
      <w:pPr>
        <w:pStyle w:val="Default"/>
        <w:ind w:left="709"/>
      </w:pPr>
      <w:r>
        <w:t>‘Social Landlords perform in all aspects of their housing services so that every tenant and other customer has their individual needs recognised, is treated fairly and with respect, and receives fair access to housing and housing services’.</w:t>
      </w:r>
    </w:p>
    <w:p w14:paraId="0D9ACE9D" w14:textId="77777777" w:rsidR="0045212D" w:rsidRDefault="0045212D" w:rsidP="0045212D">
      <w:pPr>
        <w:pStyle w:val="ListParagraph"/>
        <w:rPr>
          <w:b/>
          <w:bCs/>
          <w:lang w:eastAsia="ja-JP"/>
        </w:rPr>
      </w:pPr>
    </w:p>
    <w:p w14:paraId="0A488CE7" w14:textId="7A333F1A" w:rsidR="0045212D" w:rsidRPr="0045212D" w:rsidRDefault="00E75714" w:rsidP="00E75714">
      <w:pPr>
        <w:pStyle w:val="Default"/>
        <w:numPr>
          <w:ilvl w:val="0"/>
          <w:numId w:val="1"/>
        </w:numPr>
        <w:ind w:left="709" w:hanging="709"/>
      </w:pPr>
      <w:bookmarkStart w:id="5" w:name="Consultation"/>
      <w:r w:rsidRPr="0045212D">
        <w:rPr>
          <w:b/>
          <w:bCs/>
          <w:lang w:eastAsia="ja-JP"/>
        </w:rPr>
        <w:t>Consultation</w:t>
      </w:r>
    </w:p>
    <w:bookmarkEnd w:id="5"/>
    <w:p w14:paraId="156E06D8" w14:textId="77777777" w:rsidR="0045212D" w:rsidRPr="0045212D" w:rsidRDefault="0045212D" w:rsidP="0045212D">
      <w:pPr>
        <w:pStyle w:val="Default"/>
        <w:ind w:left="709"/>
      </w:pPr>
    </w:p>
    <w:p w14:paraId="1565F471" w14:textId="047C5067" w:rsidR="0045212D" w:rsidRDefault="003627D5" w:rsidP="00E75714">
      <w:pPr>
        <w:pStyle w:val="Default"/>
        <w:numPr>
          <w:ilvl w:val="1"/>
          <w:numId w:val="1"/>
        </w:numPr>
        <w:ind w:left="709" w:hanging="709"/>
      </w:pPr>
      <w:r w:rsidRPr="003627D5">
        <w:t>Th</w:t>
      </w:r>
      <w:r>
        <w:t>is</w:t>
      </w:r>
      <w:r w:rsidRPr="003627D5">
        <w:t xml:space="preserve"> </w:t>
      </w:r>
      <w:r>
        <w:t>p</w:t>
      </w:r>
      <w:r w:rsidRPr="003627D5">
        <w:t xml:space="preserve">olicy has been circulated to staff for consideration, and both tenants and applicants </w:t>
      </w:r>
      <w:r>
        <w:t>have been</w:t>
      </w:r>
      <w:r w:rsidRPr="003627D5">
        <w:t xml:space="preserve"> surveyed on it. </w:t>
      </w:r>
      <w:r>
        <w:t xml:space="preserve">Our tenants’ group, </w:t>
      </w:r>
      <w:r w:rsidRPr="003627D5">
        <w:t>TAG</w:t>
      </w:r>
      <w:r>
        <w:t>,</w:t>
      </w:r>
      <w:r w:rsidRPr="003627D5">
        <w:t xml:space="preserve"> have been passed the </w:t>
      </w:r>
      <w:r>
        <w:t>p</w:t>
      </w:r>
      <w:r w:rsidRPr="003627D5">
        <w:t xml:space="preserve">olicy for consideration and the Policy Working Group </w:t>
      </w:r>
      <w:r>
        <w:t>have</w:t>
      </w:r>
      <w:r w:rsidRPr="003627D5">
        <w:t xml:space="preserve"> also consider</w:t>
      </w:r>
      <w:r>
        <w:t>ed</w:t>
      </w:r>
      <w:r w:rsidRPr="003627D5">
        <w:t xml:space="preserve"> it. Other stakeholders, including the relevant local authorities, have </w:t>
      </w:r>
      <w:r>
        <w:t xml:space="preserve">also </w:t>
      </w:r>
      <w:r w:rsidRPr="003627D5">
        <w:t>been consulted</w:t>
      </w:r>
      <w:r w:rsidR="00E75714" w:rsidRPr="0045212D">
        <w:rPr>
          <w:lang w:eastAsia="ja-JP"/>
        </w:rPr>
        <w:t>.</w:t>
      </w:r>
    </w:p>
    <w:p w14:paraId="7B85BF2A" w14:textId="77777777" w:rsidR="0045212D" w:rsidRDefault="0045212D" w:rsidP="0045212D">
      <w:pPr>
        <w:pStyle w:val="Default"/>
        <w:ind w:left="709"/>
      </w:pPr>
    </w:p>
    <w:p w14:paraId="7056424E" w14:textId="383AA91E" w:rsidR="0045212D" w:rsidRPr="0045212D" w:rsidRDefault="00E75714" w:rsidP="00E75714">
      <w:pPr>
        <w:pStyle w:val="Default"/>
        <w:numPr>
          <w:ilvl w:val="0"/>
          <w:numId w:val="1"/>
        </w:numPr>
        <w:ind w:left="709" w:hanging="709"/>
      </w:pPr>
      <w:bookmarkStart w:id="6" w:name="Monitoringandcompliance"/>
      <w:r w:rsidRPr="0045212D">
        <w:rPr>
          <w:b/>
          <w:bCs/>
          <w:lang w:eastAsia="ja-JP"/>
        </w:rPr>
        <w:t>Monitoring and compliance</w:t>
      </w:r>
    </w:p>
    <w:bookmarkEnd w:id="6"/>
    <w:p w14:paraId="3D76A443" w14:textId="77777777" w:rsidR="0045212D" w:rsidRPr="0045212D" w:rsidRDefault="0045212D" w:rsidP="0045212D">
      <w:pPr>
        <w:pStyle w:val="Default"/>
        <w:ind w:left="709"/>
      </w:pPr>
    </w:p>
    <w:p w14:paraId="484141C3" w14:textId="65F75FFF" w:rsidR="0045212D" w:rsidRDefault="00E75714" w:rsidP="00E75714">
      <w:pPr>
        <w:pStyle w:val="Default"/>
        <w:numPr>
          <w:ilvl w:val="1"/>
          <w:numId w:val="1"/>
        </w:numPr>
        <w:ind w:left="709" w:hanging="709"/>
      </w:pPr>
      <w:r w:rsidRPr="0045212D">
        <w:rPr>
          <w:lang w:eastAsia="ja-JP"/>
        </w:rPr>
        <w:t xml:space="preserve">This policy will be monitored to ensure that the operational arrangements are compliant with legislation and reflect best practice. The Director </w:t>
      </w:r>
      <w:r w:rsidR="00634706">
        <w:rPr>
          <w:lang w:eastAsia="ja-JP"/>
        </w:rPr>
        <w:t>of Housing &amp; Community Services</w:t>
      </w:r>
      <w:r w:rsidRPr="0045212D">
        <w:rPr>
          <w:lang w:eastAsia="ja-JP"/>
        </w:rPr>
        <w:t xml:space="preserve"> will commission cases to be audited on a regular basis. Records of </w:t>
      </w:r>
      <w:r w:rsidR="003627D5">
        <w:rPr>
          <w:lang w:eastAsia="ja-JP"/>
        </w:rPr>
        <w:t>waiting list applications will be</w:t>
      </w:r>
      <w:r w:rsidRPr="0045212D">
        <w:rPr>
          <w:lang w:eastAsia="ja-JP"/>
        </w:rPr>
        <w:t xml:space="preserve"> stored on the appropriate systems </w:t>
      </w:r>
      <w:r w:rsidR="003627D5">
        <w:rPr>
          <w:lang w:eastAsia="ja-JP"/>
        </w:rPr>
        <w:t xml:space="preserve">and </w:t>
      </w:r>
      <w:r w:rsidRPr="0045212D">
        <w:rPr>
          <w:lang w:eastAsia="ja-JP"/>
        </w:rPr>
        <w:t xml:space="preserve">will be reviewed to ensure </w:t>
      </w:r>
      <w:r w:rsidR="003627D5">
        <w:rPr>
          <w:lang w:eastAsia="ja-JP"/>
        </w:rPr>
        <w:t>they</w:t>
      </w:r>
      <w:r w:rsidRPr="0045212D">
        <w:rPr>
          <w:lang w:eastAsia="ja-JP"/>
        </w:rPr>
        <w:t xml:space="preserve"> are </w:t>
      </w:r>
      <w:r w:rsidR="003627D5">
        <w:rPr>
          <w:lang w:eastAsia="ja-JP"/>
        </w:rPr>
        <w:t>processed</w:t>
      </w:r>
      <w:r w:rsidRPr="0045212D">
        <w:rPr>
          <w:lang w:eastAsia="ja-JP"/>
        </w:rPr>
        <w:t xml:space="preserve"> in a timely, fair and transparent manner.</w:t>
      </w:r>
    </w:p>
    <w:p w14:paraId="1D3AF012" w14:textId="77777777" w:rsidR="0045212D" w:rsidRDefault="0045212D" w:rsidP="0045212D">
      <w:pPr>
        <w:pStyle w:val="Default"/>
        <w:ind w:left="709"/>
      </w:pPr>
    </w:p>
    <w:p w14:paraId="47BF1123" w14:textId="77777777" w:rsidR="0045212D" w:rsidRDefault="00E75714" w:rsidP="00E75714">
      <w:pPr>
        <w:pStyle w:val="Default"/>
        <w:numPr>
          <w:ilvl w:val="1"/>
          <w:numId w:val="1"/>
        </w:numPr>
        <w:ind w:left="709" w:hanging="709"/>
      </w:pPr>
      <w:r w:rsidRPr="0045212D">
        <w:rPr>
          <w:lang w:eastAsia="ja-JP"/>
        </w:rPr>
        <w:t>Period of review</w:t>
      </w:r>
    </w:p>
    <w:p w14:paraId="0801430C" w14:textId="77777777" w:rsidR="0045212D" w:rsidRDefault="0045212D" w:rsidP="0045212D">
      <w:pPr>
        <w:pStyle w:val="ListParagraph"/>
        <w:rPr>
          <w:lang w:eastAsia="ja-JP"/>
        </w:rPr>
      </w:pPr>
    </w:p>
    <w:p w14:paraId="0D6714A5" w14:textId="729DAC85" w:rsidR="0045212D" w:rsidRDefault="00E75714" w:rsidP="00E75714">
      <w:pPr>
        <w:pStyle w:val="Default"/>
        <w:numPr>
          <w:ilvl w:val="2"/>
          <w:numId w:val="1"/>
        </w:numPr>
        <w:ind w:left="709" w:hanging="709"/>
      </w:pPr>
      <w:r w:rsidRPr="0045212D">
        <w:rPr>
          <w:lang w:eastAsia="ja-JP"/>
        </w:rPr>
        <w:lastRenderedPageBreak/>
        <w:t>Until a new policy is formally adopted this document will remain in force and operational.</w:t>
      </w:r>
    </w:p>
    <w:p w14:paraId="25F06B92" w14:textId="77777777" w:rsidR="001A6E08" w:rsidRDefault="001A6E08" w:rsidP="001A6E08">
      <w:pPr>
        <w:pStyle w:val="Default"/>
        <w:ind w:left="709"/>
      </w:pPr>
    </w:p>
    <w:p w14:paraId="0B2904EE" w14:textId="28D2D67A" w:rsidR="001A6E08" w:rsidRDefault="00E75714" w:rsidP="001A6E08">
      <w:pPr>
        <w:pStyle w:val="Default"/>
        <w:numPr>
          <w:ilvl w:val="2"/>
          <w:numId w:val="1"/>
        </w:numPr>
        <w:ind w:left="709" w:hanging="709"/>
      </w:pPr>
      <w:r w:rsidRPr="0045212D">
        <w:rPr>
          <w:lang w:eastAsia="ja-JP"/>
        </w:rPr>
        <w:t xml:space="preserve">This policy will be reviewed in accordance with the policy review programme agreed by </w:t>
      </w:r>
      <w:r w:rsidR="001A6E08">
        <w:rPr>
          <w:lang w:eastAsia="ja-JP"/>
        </w:rPr>
        <w:t>the Corporate Management Team (CMT)</w:t>
      </w:r>
      <w:r w:rsidRPr="0045212D">
        <w:rPr>
          <w:lang w:eastAsia="ja-JP"/>
        </w:rPr>
        <w:t>.</w:t>
      </w:r>
    </w:p>
    <w:p w14:paraId="38540AA4" w14:textId="77777777" w:rsidR="001A6E08" w:rsidRDefault="001A6E08" w:rsidP="001A6E08">
      <w:pPr>
        <w:pStyle w:val="Default"/>
        <w:ind w:left="709"/>
      </w:pPr>
    </w:p>
    <w:p w14:paraId="77C19A34" w14:textId="056138B6" w:rsidR="001A6E08" w:rsidRDefault="00E75714" w:rsidP="001A6E08">
      <w:pPr>
        <w:pStyle w:val="Default"/>
        <w:numPr>
          <w:ilvl w:val="2"/>
          <w:numId w:val="1"/>
        </w:numPr>
        <w:ind w:left="709" w:hanging="709"/>
      </w:pPr>
      <w:r w:rsidRPr="0045212D">
        <w:rPr>
          <w:lang w:eastAsia="ja-JP"/>
        </w:rPr>
        <w:t xml:space="preserve">If there are significant changes to legislation or regulation or there are found to be deficiencies or failures in this policy, as a result of complaints or findings from any independent organisations, the Director </w:t>
      </w:r>
      <w:r w:rsidR="001A6E08">
        <w:rPr>
          <w:lang w:eastAsia="ja-JP"/>
        </w:rPr>
        <w:t>of Housing &amp; Community Services</w:t>
      </w:r>
      <w:r w:rsidRPr="0045212D">
        <w:rPr>
          <w:lang w:eastAsia="ja-JP"/>
        </w:rPr>
        <w:t xml:space="preserve"> will initiate an immediate review.</w:t>
      </w:r>
    </w:p>
    <w:p w14:paraId="28419A1A" w14:textId="77777777" w:rsidR="001A6E08" w:rsidRDefault="001A6E08" w:rsidP="001A6E08">
      <w:pPr>
        <w:pStyle w:val="Default"/>
        <w:ind w:left="709"/>
      </w:pPr>
    </w:p>
    <w:p w14:paraId="35F4F52D" w14:textId="116E85B5" w:rsidR="0045212D" w:rsidRDefault="00E75714" w:rsidP="00E75714">
      <w:pPr>
        <w:pStyle w:val="Default"/>
        <w:numPr>
          <w:ilvl w:val="2"/>
          <w:numId w:val="1"/>
        </w:numPr>
        <w:ind w:left="709" w:hanging="709"/>
      </w:pPr>
      <w:r w:rsidRPr="0045212D">
        <w:rPr>
          <w:lang w:eastAsia="ja-JP"/>
        </w:rPr>
        <w:t>Where appropriate, key stakeholders and interested parties will be consulted as part of any review of this policy.</w:t>
      </w:r>
    </w:p>
    <w:p w14:paraId="580C39BC" w14:textId="77777777" w:rsidR="0045212D" w:rsidRDefault="0045212D" w:rsidP="0045212D">
      <w:pPr>
        <w:pStyle w:val="Default"/>
        <w:ind w:left="709"/>
      </w:pPr>
    </w:p>
    <w:p w14:paraId="4C84663F" w14:textId="0E5349F8" w:rsidR="0045212D" w:rsidRPr="0045212D" w:rsidRDefault="00E75714" w:rsidP="00E75714">
      <w:pPr>
        <w:pStyle w:val="Default"/>
        <w:numPr>
          <w:ilvl w:val="0"/>
          <w:numId w:val="1"/>
        </w:numPr>
        <w:ind w:left="709" w:hanging="709"/>
      </w:pPr>
      <w:bookmarkStart w:id="7" w:name="Approval"/>
      <w:r w:rsidRPr="0045212D">
        <w:rPr>
          <w:b/>
          <w:bCs/>
          <w:lang w:eastAsia="ja-JP"/>
        </w:rPr>
        <w:t>Approval</w:t>
      </w:r>
    </w:p>
    <w:bookmarkEnd w:id="7"/>
    <w:p w14:paraId="2C4962B9" w14:textId="77777777" w:rsidR="0045212D" w:rsidRPr="0045212D" w:rsidRDefault="0045212D" w:rsidP="0045212D">
      <w:pPr>
        <w:pStyle w:val="Default"/>
        <w:ind w:left="709"/>
      </w:pPr>
    </w:p>
    <w:p w14:paraId="6E8C7E39" w14:textId="1ED336B0" w:rsidR="0045212D" w:rsidRDefault="00E75714" w:rsidP="00E75714">
      <w:pPr>
        <w:pStyle w:val="Default"/>
        <w:numPr>
          <w:ilvl w:val="1"/>
          <w:numId w:val="1"/>
        </w:numPr>
        <w:ind w:left="709" w:hanging="709"/>
      </w:pPr>
      <w:r w:rsidRPr="0045212D">
        <w:rPr>
          <w:lang w:eastAsia="ja-JP"/>
        </w:rPr>
        <w:t>This policy is approved by WSH</w:t>
      </w:r>
      <w:r w:rsidR="0045212D">
        <w:rPr>
          <w:lang w:eastAsia="ja-JP"/>
        </w:rPr>
        <w:t>A’s Board of Management.</w:t>
      </w:r>
    </w:p>
    <w:p w14:paraId="27E5B9A8" w14:textId="77777777" w:rsidR="0045212D" w:rsidRDefault="0045212D" w:rsidP="0045212D">
      <w:pPr>
        <w:pStyle w:val="Default"/>
        <w:ind w:left="709"/>
      </w:pPr>
    </w:p>
    <w:p w14:paraId="07B41571" w14:textId="22A7396A" w:rsidR="005C6160" w:rsidRPr="005C6160" w:rsidRDefault="00E75714" w:rsidP="005C6160">
      <w:pPr>
        <w:pStyle w:val="Default"/>
        <w:numPr>
          <w:ilvl w:val="0"/>
          <w:numId w:val="1"/>
        </w:numPr>
        <w:ind w:left="709" w:hanging="709"/>
      </w:pPr>
      <w:bookmarkStart w:id="8" w:name="Operationalarrangements"/>
      <w:r w:rsidRPr="0045212D">
        <w:rPr>
          <w:b/>
          <w:bCs/>
          <w:lang w:eastAsia="ja-JP"/>
        </w:rPr>
        <w:t>Operational arrangements</w:t>
      </w:r>
      <w:bookmarkEnd w:id="8"/>
    </w:p>
    <w:p w14:paraId="0452552E" w14:textId="77777777" w:rsidR="005C6160" w:rsidRDefault="005C6160" w:rsidP="005C6160">
      <w:pPr>
        <w:pStyle w:val="Default"/>
        <w:ind w:left="709"/>
      </w:pPr>
    </w:p>
    <w:p w14:paraId="5B7A02B9" w14:textId="72C76492" w:rsidR="005B068B" w:rsidRDefault="005C6160" w:rsidP="005B068B">
      <w:pPr>
        <w:pStyle w:val="Default"/>
        <w:numPr>
          <w:ilvl w:val="1"/>
          <w:numId w:val="1"/>
        </w:numPr>
        <w:ind w:left="709" w:hanging="709"/>
      </w:pPr>
      <w:bookmarkStart w:id="9" w:name="Accesstohousing"/>
      <w:r>
        <w:t>Access to housing</w:t>
      </w:r>
    </w:p>
    <w:bookmarkEnd w:id="9"/>
    <w:p w14:paraId="666A2E6C" w14:textId="77777777" w:rsidR="005B068B" w:rsidRDefault="005B068B" w:rsidP="005B068B">
      <w:pPr>
        <w:pStyle w:val="Default"/>
        <w:ind w:left="709"/>
      </w:pPr>
    </w:p>
    <w:p w14:paraId="383C0C97" w14:textId="6D6C3E44" w:rsidR="005B068B" w:rsidRDefault="005C6160" w:rsidP="005B068B">
      <w:pPr>
        <w:pStyle w:val="Default"/>
        <w:numPr>
          <w:ilvl w:val="2"/>
          <w:numId w:val="1"/>
        </w:numPr>
        <w:ind w:left="709" w:hanging="709"/>
      </w:pPr>
      <w:r>
        <w:t>There are a number of ways of gaining access to West of Scotland’s properties depending on local circumstances. Applicants may gain access to general rented, sheltered, amenity and supported properties through one or more of these routes:</w:t>
      </w:r>
    </w:p>
    <w:p w14:paraId="292B733A" w14:textId="3F781621" w:rsidR="005B068B" w:rsidRDefault="005B068B" w:rsidP="005B068B">
      <w:pPr>
        <w:pStyle w:val="Default"/>
        <w:ind w:left="709"/>
      </w:pPr>
    </w:p>
    <w:p w14:paraId="6E5762C8" w14:textId="77777777" w:rsidR="005B068B" w:rsidRDefault="005B068B" w:rsidP="005B068B">
      <w:pPr>
        <w:pStyle w:val="Default"/>
        <w:numPr>
          <w:ilvl w:val="0"/>
          <w:numId w:val="30"/>
        </w:numPr>
        <w:ind w:hanging="11"/>
      </w:pPr>
      <w:r>
        <w:t>West of Scotland’s housing list;</w:t>
      </w:r>
    </w:p>
    <w:p w14:paraId="3D7F4293" w14:textId="6C9DB5EE" w:rsidR="005B068B" w:rsidRDefault="005B068B" w:rsidP="005B068B">
      <w:pPr>
        <w:pStyle w:val="Default"/>
        <w:numPr>
          <w:ilvl w:val="0"/>
          <w:numId w:val="30"/>
        </w:numPr>
        <w:ind w:left="1418" w:hanging="720"/>
      </w:pPr>
      <w:r>
        <w:t>Common Housing Registers (CHR), (for example North and South Lanarkshire);</w:t>
      </w:r>
    </w:p>
    <w:p w14:paraId="256BB5CE" w14:textId="77777777" w:rsidR="005B068B" w:rsidRDefault="005B068B" w:rsidP="005B068B">
      <w:pPr>
        <w:pStyle w:val="Default"/>
        <w:numPr>
          <w:ilvl w:val="0"/>
          <w:numId w:val="30"/>
        </w:numPr>
        <w:ind w:left="1418" w:hanging="720"/>
      </w:pPr>
      <w:r>
        <w:t>local authority nominations and section 5 referrals;</w:t>
      </w:r>
    </w:p>
    <w:p w14:paraId="761DA052" w14:textId="04BAA502" w:rsidR="005B068B" w:rsidRDefault="005B068B" w:rsidP="00B64D65">
      <w:pPr>
        <w:pStyle w:val="Default"/>
        <w:numPr>
          <w:ilvl w:val="0"/>
          <w:numId w:val="30"/>
        </w:numPr>
        <w:ind w:left="1418" w:hanging="720"/>
      </w:pPr>
      <w:r>
        <w:t>nominations from referral agencies;</w:t>
      </w:r>
    </w:p>
    <w:p w14:paraId="04D683B3" w14:textId="77777777" w:rsidR="005B068B" w:rsidRDefault="005B068B" w:rsidP="005B068B">
      <w:pPr>
        <w:pStyle w:val="Default"/>
        <w:numPr>
          <w:ilvl w:val="0"/>
          <w:numId w:val="30"/>
        </w:numPr>
        <w:ind w:left="1418" w:hanging="720"/>
      </w:pPr>
      <w:r>
        <w:t>existing tenants wishing to transfer;</w:t>
      </w:r>
    </w:p>
    <w:p w14:paraId="446C5E35" w14:textId="77777777" w:rsidR="005B068B" w:rsidRDefault="005B068B" w:rsidP="005B068B">
      <w:pPr>
        <w:pStyle w:val="Default"/>
        <w:numPr>
          <w:ilvl w:val="0"/>
          <w:numId w:val="30"/>
        </w:numPr>
        <w:ind w:left="1418" w:hanging="720"/>
      </w:pPr>
      <w:r>
        <w:t>mutual exchanges;</w:t>
      </w:r>
    </w:p>
    <w:p w14:paraId="31DEF3D2" w14:textId="29C58403" w:rsidR="005B068B" w:rsidRDefault="005B068B" w:rsidP="005B068B">
      <w:pPr>
        <w:pStyle w:val="Default"/>
        <w:numPr>
          <w:ilvl w:val="0"/>
          <w:numId w:val="30"/>
        </w:numPr>
        <w:ind w:left="1418" w:hanging="720"/>
      </w:pPr>
      <w:r>
        <w:t>reciprocal arrangements with other organisations</w:t>
      </w:r>
      <w:r w:rsidR="00B64D65">
        <w:t xml:space="preserve">, </w:t>
      </w:r>
      <w:r>
        <w:t>and</w:t>
      </w:r>
    </w:p>
    <w:p w14:paraId="7ED0BD40" w14:textId="6A2736F2" w:rsidR="005B068B" w:rsidRDefault="005B068B" w:rsidP="005B068B">
      <w:pPr>
        <w:pStyle w:val="Default"/>
        <w:numPr>
          <w:ilvl w:val="0"/>
          <w:numId w:val="30"/>
        </w:numPr>
        <w:ind w:left="1418" w:hanging="720"/>
      </w:pPr>
      <w:r>
        <w:t>non-standard selections</w:t>
      </w:r>
      <w:r w:rsidR="00B64D65">
        <w:t>.</w:t>
      </w:r>
    </w:p>
    <w:p w14:paraId="2FE95663" w14:textId="77777777" w:rsidR="005B068B" w:rsidRDefault="005B068B" w:rsidP="005B068B">
      <w:pPr>
        <w:pStyle w:val="Default"/>
        <w:ind w:left="709"/>
      </w:pPr>
    </w:p>
    <w:p w14:paraId="78511B97" w14:textId="661CD669" w:rsidR="005B068B" w:rsidRDefault="005C6160" w:rsidP="005B068B">
      <w:pPr>
        <w:pStyle w:val="Default"/>
        <w:numPr>
          <w:ilvl w:val="2"/>
          <w:numId w:val="1"/>
        </w:numPr>
        <w:ind w:left="709" w:hanging="709"/>
      </w:pPr>
      <w:r>
        <w:t xml:space="preserve">West of Scotland will accept applications for </w:t>
      </w:r>
      <w:r w:rsidR="00B64D65">
        <w:t>housing</w:t>
      </w:r>
      <w:r>
        <w:t xml:space="preserve"> from any applicant over </w:t>
      </w:r>
      <w:r w:rsidR="00B64D65">
        <w:t>16 years of age or older</w:t>
      </w:r>
      <w:r>
        <w:t xml:space="preserve"> regardless of any protected characteristic they may have, home ownership, income or financial circumstances. There may be certain circumstances where it would be helpful to accept an application from someone six months prior to their 16th birthday; for example, to help the transition of a young person leaving car</w:t>
      </w:r>
      <w:r w:rsidR="00B64D65">
        <w:t>e. H</w:t>
      </w:r>
      <w:r>
        <w:t>owever</w:t>
      </w:r>
      <w:r w:rsidR="00B64D65">
        <w:t>,</w:t>
      </w:r>
      <w:r>
        <w:t xml:space="preserve"> an applicant will not be allocated a property until they have turned 16.</w:t>
      </w:r>
    </w:p>
    <w:p w14:paraId="5A9C766D" w14:textId="77777777" w:rsidR="005B068B" w:rsidRDefault="005B068B" w:rsidP="005B068B">
      <w:pPr>
        <w:pStyle w:val="ListParagraph"/>
      </w:pPr>
    </w:p>
    <w:p w14:paraId="0869F8AB" w14:textId="0CF580C1" w:rsidR="005B068B" w:rsidRDefault="005C6160" w:rsidP="005B068B">
      <w:pPr>
        <w:pStyle w:val="Default"/>
        <w:numPr>
          <w:ilvl w:val="2"/>
          <w:numId w:val="1"/>
        </w:numPr>
        <w:ind w:left="709" w:hanging="709"/>
      </w:pPr>
      <w:r>
        <w:t>West of Scotlan</w:t>
      </w:r>
      <w:r w:rsidR="00B64D65">
        <w:t xml:space="preserve">d </w:t>
      </w:r>
      <w:r>
        <w:t xml:space="preserve">has only a small number of properties available for allocation each year, so cannot guarantee being able to offer a house to all applicants accepted onto the housing list. Applicants will be actively encouraged to apply for housing with other Housing Associations and local </w:t>
      </w:r>
      <w:r>
        <w:lastRenderedPageBreak/>
        <w:t>authorities, for example through CHRs. Even if the circumstances of an applicant merit a high priority, it cannot be guaranteed that a house will become available within a reasonable timescale.</w:t>
      </w:r>
    </w:p>
    <w:p w14:paraId="64755AE3" w14:textId="77777777" w:rsidR="005B068B" w:rsidRDefault="005B068B" w:rsidP="005B068B">
      <w:pPr>
        <w:pStyle w:val="ListParagraph"/>
      </w:pPr>
    </w:p>
    <w:p w14:paraId="0D7D3761" w14:textId="77777777" w:rsidR="00E4096B" w:rsidRDefault="005C6160" w:rsidP="00E4096B">
      <w:pPr>
        <w:pStyle w:val="Default"/>
        <w:numPr>
          <w:ilvl w:val="2"/>
          <w:numId w:val="1"/>
        </w:numPr>
        <w:ind w:left="709" w:hanging="709"/>
      </w:pPr>
      <w:r>
        <w:t>Applicants come from a variety of different housing circumstances. This policy seeks to ensure that a balance of applicants from a range of circumstances are given the opportunity to be housed.</w:t>
      </w:r>
      <w:r w:rsidR="00E4096B">
        <w:t xml:space="preserve"> </w:t>
      </w:r>
      <w:r>
        <w:t>Eligibility for different property types</w:t>
      </w:r>
      <w:r w:rsidR="00E4096B">
        <w:t xml:space="preserve"> are noted below:</w:t>
      </w:r>
    </w:p>
    <w:p w14:paraId="17C23FF5" w14:textId="77777777" w:rsidR="00E4096B" w:rsidRDefault="00E4096B" w:rsidP="00E4096B">
      <w:pPr>
        <w:pStyle w:val="ListParagraph"/>
      </w:pPr>
    </w:p>
    <w:p w14:paraId="0134BD3F" w14:textId="77777777" w:rsidR="00E4096B" w:rsidRDefault="005C6160" w:rsidP="00E4096B">
      <w:pPr>
        <w:pStyle w:val="Default"/>
        <w:numPr>
          <w:ilvl w:val="2"/>
          <w:numId w:val="1"/>
        </w:numPr>
        <w:ind w:left="709" w:hanging="709"/>
      </w:pPr>
      <w:r w:rsidRPr="00B64D65">
        <w:rPr>
          <w:b/>
          <w:bCs/>
        </w:rPr>
        <w:t>General needs housing</w:t>
      </w:r>
      <w:r w:rsidR="00E4096B">
        <w:t xml:space="preserve"> - g</w:t>
      </w:r>
      <w:r>
        <w:t>eneral needs housing is accommodation that is suitable for anyone regardless of age, mobility or other impairment and makes up the majority of West of Scotland’s housing stock.</w:t>
      </w:r>
    </w:p>
    <w:p w14:paraId="5F4CD4B4" w14:textId="77777777" w:rsidR="00E4096B" w:rsidRDefault="00E4096B" w:rsidP="00E4096B">
      <w:pPr>
        <w:pStyle w:val="ListParagraph"/>
      </w:pPr>
    </w:p>
    <w:p w14:paraId="2B99BC25" w14:textId="4EBB1AD4" w:rsidR="00B64D65" w:rsidRDefault="00B64D65" w:rsidP="00B64D65">
      <w:pPr>
        <w:pStyle w:val="Default"/>
        <w:numPr>
          <w:ilvl w:val="2"/>
          <w:numId w:val="1"/>
        </w:numPr>
        <w:ind w:left="709" w:hanging="709"/>
      </w:pPr>
      <w:r>
        <w:rPr>
          <w:b/>
          <w:bCs/>
        </w:rPr>
        <w:t xml:space="preserve">Amenity &amp; </w:t>
      </w:r>
      <w:r w:rsidR="00B64B81">
        <w:rPr>
          <w:b/>
          <w:bCs/>
        </w:rPr>
        <w:t>s</w:t>
      </w:r>
      <w:r w:rsidR="005C6160" w:rsidRPr="00B64D65">
        <w:rPr>
          <w:b/>
          <w:bCs/>
        </w:rPr>
        <w:t>heltered housing</w:t>
      </w:r>
      <w:r w:rsidR="00E4096B">
        <w:t xml:space="preserve"> - </w:t>
      </w:r>
      <w:r w:rsidR="00B64B81">
        <w:t>t</w:t>
      </w:r>
      <w:r w:rsidRPr="00B64D65">
        <w:t>he Association has a number of properties which have been built to amenity standard. We also manage a variety of sheltered accommodation where there are additional support services provided through our Retirement Assistants and/or community alarms. Amenity and sheltered properties will normally be allocated, in the first instance, to applicants that have at least one person aged over 60, without young children in the household. However, the age limit may be lowered where the applicant has a specific medical or social need that can be met within sheltered or amenity housing.</w:t>
      </w:r>
    </w:p>
    <w:p w14:paraId="17337199" w14:textId="77777777" w:rsidR="00B64D65" w:rsidRDefault="00B64D65" w:rsidP="00B64D65">
      <w:pPr>
        <w:pStyle w:val="Default"/>
        <w:ind w:left="709"/>
      </w:pPr>
    </w:p>
    <w:p w14:paraId="07F5A479" w14:textId="415929EE" w:rsidR="005C6160" w:rsidRDefault="005C6160" w:rsidP="00E4096B">
      <w:pPr>
        <w:pStyle w:val="Default"/>
        <w:numPr>
          <w:ilvl w:val="2"/>
          <w:numId w:val="1"/>
        </w:numPr>
        <w:ind w:left="709" w:hanging="709"/>
      </w:pPr>
      <w:r w:rsidRPr="00B64D65">
        <w:rPr>
          <w:b/>
          <w:bCs/>
        </w:rPr>
        <w:t>Supported housing</w:t>
      </w:r>
      <w:r w:rsidR="00E4096B">
        <w:t xml:space="preserve"> - s</w:t>
      </w:r>
      <w:r>
        <w:t>upported housing provides housing for individuals with specific housing support needs who require up to 24 hour per day support from a local authority appointed contractor to live independently. Tenants in supported housing receive specialist support via tailored packages. Eligibility for supported housing is based on an assessment of need by the local authority. West of Scotland will allocate supported housing by inviting nominations.</w:t>
      </w:r>
    </w:p>
    <w:p w14:paraId="75AA4A24" w14:textId="77777777" w:rsidR="00E4096B" w:rsidRDefault="00E4096B" w:rsidP="00E4096B">
      <w:pPr>
        <w:pStyle w:val="Default"/>
        <w:ind w:left="709"/>
      </w:pPr>
    </w:p>
    <w:p w14:paraId="54444428" w14:textId="65DD32A7" w:rsidR="00E4096B" w:rsidRDefault="005C6160" w:rsidP="00E4096B">
      <w:pPr>
        <w:pStyle w:val="Default"/>
        <w:numPr>
          <w:ilvl w:val="1"/>
          <w:numId w:val="1"/>
        </w:numPr>
        <w:ind w:left="709" w:hanging="709"/>
      </w:pPr>
      <w:bookmarkStart w:id="10" w:name="LocalLettingsPlansStrategies"/>
      <w:r>
        <w:t>Local Lettings Plans</w:t>
      </w:r>
      <w:r w:rsidR="00B64B81">
        <w:t>/Strategies</w:t>
      </w:r>
    </w:p>
    <w:bookmarkEnd w:id="10"/>
    <w:p w14:paraId="0BB3A8F3" w14:textId="77777777" w:rsidR="00E4096B" w:rsidRDefault="00E4096B" w:rsidP="00E4096B">
      <w:pPr>
        <w:pStyle w:val="Default"/>
        <w:ind w:left="709"/>
      </w:pPr>
    </w:p>
    <w:p w14:paraId="7CBE4857" w14:textId="2971DF1B" w:rsidR="00E4096B" w:rsidRDefault="005C6160" w:rsidP="00E4096B">
      <w:pPr>
        <w:pStyle w:val="Default"/>
        <w:numPr>
          <w:ilvl w:val="2"/>
          <w:numId w:val="1"/>
        </w:numPr>
        <w:ind w:left="709" w:hanging="709"/>
      </w:pPr>
      <w:r>
        <w:t>To ensure the best use of stock, and in meeting the needs of applicants and the local communities, West of Scotland operates Local Lettings Plans</w:t>
      </w:r>
      <w:r w:rsidR="00B64B81">
        <w:t>/Strategies</w:t>
      </w:r>
      <w:r>
        <w:t>, which are reviewed at least on an annual basis by the Board of Management</w:t>
      </w:r>
      <w:r w:rsidR="00E4096B">
        <w:t xml:space="preserve">. </w:t>
      </w:r>
    </w:p>
    <w:p w14:paraId="7512A91E" w14:textId="77777777" w:rsidR="00E4096B" w:rsidRDefault="00E4096B" w:rsidP="00E4096B">
      <w:pPr>
        <w:pStyle w:val="Default"/>
        <w:ind w:left="709"/>
      </w:pPr>
    </w:p>
    <w:p w14:paraId="08815573" w14:textId="001C2E7C" w:rsidR="00E4096B" w:rsidRDefault="005C6160" w:rsidP="00CF41AA">
      <w:pPr>
        <w:pStyle w:val="Default"/>
        <w:numPr>
          <w:ilvl w:val="2"/>
          <w:numId w:val="1"/>
        </w:numPr>
        <w:ind w:left="709" w:hanging="709"/>
      </w:pPr>
      <w:r>
        <w:t>Each Local Lettings Plan</w:t>
      </w:r>
      <w:r w:rsidR="00B64B81">
        <w:t>/Strategy</w:t>
      </w:r>
      <w:r>
        <w:t xml:space="preserve"> will set out the expected number of properties for letting during the coming year and set targets based on local population and mix. Additionally, annual Lettings Targets are set for each Housing List Band and local authority nominations. Local authority partners </w:t>
      </w:r>
      <w:r w:rsidR="00CF41AA">
        <w:t>may</w:t>
      </w:r>
      <w:r>
        <w:t xml:space="preserve"> be consulted with regard to Local Lettings Plans particularly in relation to nominations targets.</w:t>
      </w:r>
    </w:p>
    <w:p w14:paraId="1803AA33" w14:textId="77777777" w:rsidR="00E4096B" w:rsidRDefault="00E4096B" w:rsidP="00E4096B">
      <w:pPr>
        <w:pStyle w:val="ListParagraph"/>
      </w:pPr>
    </w:p>
    <w:p w14:paraId="128AF5A9" w14:textId="10992D5A" w:rsidR="00E4096B" w:rsidRDefault="005C6160" w:rsidP="00E4096B">
      <w:pPr>
        <w:pStyle w:val="Default"/>
        <w:numPr>
          <w:ilvl w:val="2"/>
          <w:numId w:val="1"/>
        </w:numPr>
        <w:ind w:left="709" w:hanging="709"/>
      </w:pPr>
      <w:r>
        <w:t xml:space="preserve">The performance in meeting the targets set will be reported </w:t>
      </w:r>
      <w:r w:rsidR="00CF41AA">
        <w:t xml:space="preserve">at least annually </w:t>
      </w:r>
      <w:r>
        <w:t>to the Board of Management</w:t>
      </w:r>
      <w:r w:rsidR="00E4096B">
        <w:t xml:space="preserve">. </w:t>
      </w:r>
    </w:p>
    <w:p w14:paraId="7F503938" w14:textId="77777777" w:rsidR="00B33848" w:rsidRDefault="00B33848" w:rsidP="00B33848">
      <w:pPr>
        <w:pStyle w:val="ListParagraph"/>
      </w:pPr>
    </w:p>
    <w:p w14:paraId="43B027B5" w14:textId="77777777" w:rsidR="00B33848" w:rsidRDefault="00B33848" w:rsidP="00B33848">
      <w:pPr>
        <w:pStyle w:val="Default"/>
        <w:numPr>
          <w:ilvl w:val="1"/>
          <w:numId w:val="1"/>
        </w:numPr>
        <w:ind w:left="709" w:hanging="709"/>
      </w:pPr>
      <w:bookmarkStart w:id="11" w:name="Lettingsareas"/>
      <w:r>
        <w:lastRenderedPageBreak/>
        <w:t>Lettings areas</w:t>
      </w:r>
    </w:p>
    <w:bookmarkEnd w:id="11"/>
    <w:p w14:paraId="57F02916" w14:textId="77777777" w:rsidR="00B33848" w:rsidRDefault="00B33848" w:rsidP="00B33848">
      <w:pPr>
        <w:pStyle w:val="Default"/>
        <w:ind w:left="709"/>
      </w:pPr>
    </w:p>
    <w:p w14:paraId="27C658FA" w14:textId="679A9D42" w:rsidR="00B33848" w:rsidRDefault="00B33848" w:rsidP="00B33848">
      <w:pPr>
        <w:pStyle w:val="Default"/>
        <w:numPr>
          <w:ilvl w:val="2"/>
          <w:numId w:val="1"/>
        </w:numPr>
        <w:ind w:left="709" w:hanging="709"/>
      </w:pPr>
      <w:r>
        <w:t>Housing stock will be divided into logical lettings areas. There will be no limit to the number of lettings areas within which direct applicants can request to be rehoused.</w:t>
      </w:r>
    </w:p>
    <w:p w14:paraId="77FF16C7" w14:textId="77777777" w:rsidR="00E4096B" w:rsidRDefault="00E4096B" w:rsidP="00E4096B">
      <w:pPr>
        <w:pStyle w:val="ListParagraph"/>
      </w:pPr>
    </w:p>
    <w:p w14:paraId="362DD619" w14:textId="177B4C36" w:rsidR="00E4096B" w:rsidRDefault="005C6160" w:rsidP="00E4096B">
      <w:pPr>
        <w:pStyle w:val="Default"/>
        <w:numPr>
          <w:ilvl w:val="1"/>
          <w:numId w:val="1"/>
        </w:numPr>
        <w:ind w:left="709" w:hanging="709"/>
      </w:pPr>
      <w:bookmarkStart w:id="12" w:name="Banding"/>
      <w:r>
        <w:t>Banding</w:t>
      </w:r>
    </w:p>
    <w:bookmarkEnd w:id="12"/>
    <w:p w14:paraId="70275FE6" w14:textId="77777777" w:rsidR="00E4096B" w:rsidRDefault="00E4096B" w:rsidP="00E4096B">
      <w:pPr>
        <w:pStyle w:val="Default"/>
        <w:ind w:left="709"/>
      </w:pPr>
    </w:p>
    <w:p w14:paraId="70966DF8" w14:textId="1447F0C7" w:rsidR="00E4096B" w:rsidRDefault="005C6160" w:rsidP="00E4096B">
      <w:pPr>
        <w:pStyle w:val="Default"/>
        <w:numPr>
          <w:ilvl w:val="2"/>
          <w:numId w:val="1"/>
        </w:numPr>
        <w:ind w:left="709" w:hanging="709"/>
      </w:pPr>
      <w:r>
        <w:t xml:space="preserve">Where West of Scotland accepts direct applications, a banding system is operated to assess whether applicants have a sufficient housing need to be considered for rehousing or a transfer. Applicants will be placed on the housing list in the appropriate band in accordance with housing need and date of registration. Details of the </w:t>
      </w:r>
      <w:proofErr w:type="spellStart"/>
      <w:r>
        <w:t>banding</w:t>
      </w:r>
      <w:proofErr w:type="spellEnd"/>
      <w:r>
        <w:t xml:space="preserve"> system use to award priority for different needs are shown in </w:t>
      </w:r>
      <w:r w:rsidR="00CF41AA">
        <w:t>s</w:t>
      </w:r>
      <w:r w:rsidRPr="00CF41AA">
        <w:t xml:space="preserve">ection </w:t>
      </w:r>
      <w:r w:rsidR="00CF41AA" w:rsidRPr="00CF41AA">
        <w:t>8.10</w:t>
      </w:r>
      <w:r w:rsidRPr="00CF41AA">
        <w:t xml:space="preserve"> below</w:t>
      </w:r>
      <w:r>
        <w:t>.</w:t>
      </w:r>
    </w:p>
    <w:p w14:paraId="35C6107F" w14:textId="77777777" w:rsidR="00E4096B" w:rsidRDefault="00E4096B" w:rsidP="00E4096B">
      <w:pPr>
        <w:pStyle w:val="Default"/>
        <w:ind w:left="709"/>
      </w:pPr>
    </w:p>
    <w:p w14:paraId="75D4A2F6" w14:textId="45CC4942" w:rsidR="00E4096B" w:rsidRDefault="005C6160" w:rsidP="00E4096B">
      <w:pPr>
        <w:pStyle w:val="Default"/>
        <w:numPr>
          <w:ilvl w:val="2"/>
          <w:numId w:val="1"/>
        </w:numPr>
        <w:ind w:left="709" w:hanging="709"/>
      </w:pPr>
      <w:r>
        <w:t>The percentage of lettings to be made to applicants from each band will be determined by Local Letting Plans</w:t>
      </w:r>
      <w:r w:rsidR="00CF41AA">
        <w:t>/Strategies</w:t>
      </w:r>
      <w:r>
        <w:t xml:space="preserve"> to ensure reasonable preference is given to those in greatest housing need and in accordance with the categories outlined in the Housing (Scotland) Act 2014 (as amended):</w:t>
      </w:r>
    </w:p>
    <w:p w14:paraId="797CB911" w14:textId="40D4AB33" w:rsidR="00E4096B" w:rsidRDefault="00E4096B" w:rsidP="00E4096B">
      <w:pPr>
        <w:pStyle w:val="ListParagraph"/>
      </w:pPr>
    </w:p>
    <w:p w14:paraId="23C82FAA" w14:textId="77777777" w:rsidR="00E4096B" w:rsidRDefault="00E4096B" w:rsidP="00E4096B">
      <w:pPr>
        <w:pStyle w:val="Default"/>
        <w:numPr>
          <w:ilvl w:val="0"/>
          <w:numId w:val="32"/>
        </w:numPr>
      </w:pPr>
      <w:r>
        <w:t>social housing tenants who are under occupying their home;</w:t>
      </w:r>
    </w:p>
    <w:p w14:paraId="6F0F4FC7" w14:textId="77777777" w:rsidR="00E4096B" w:rsidRDefault="00E4096B" w:rsidP="00E4096B">
      <w:pPr>
        <w:pStyle w:val="Default"/>
        <w:numPr>
          <w:ilvl w:val="0"/>
          <w:numId w:val="32"/>
        </w:numPr>
      </w:pPr>
      <w:r>
        <w:t>homeless persons with unmet housing needs; and</w:t>
      </w:r>
    </w:p>
    <w:p w14:paraId="39B89E44" w14:textId="7E94B25C" w:rsidR="00E4096B" w:rsidRDefault="00E4096B" w:rsidP="00E4096B">
      <w:pPr>
        <w:pStyle w:val="Default"/>
        <w:numPr>
          <w:ilvl w:val="0"/>
          <w:numId w:val="32"/>
        </w:numPr>
      </w:pPr>
      <w:r>
        <w:t>persons who are living in unsatisfactory housing conditions with unmet housing needs.</w:t>
      </w:r>
    </w:p>
    <w:p w14:paraId="5E65785D" w14:textId="77777777" w:rsidR="00E4096B" w:rsidRDefault="00E4096B" w:rsidP="00E4096B">
      <w:pPr>
        <w:pStyle w:val="ListParagraph"/>
      </w:pPr>
    </w:p>
    <w:p w14:paraId="24328608" w14:textId="24F8E724" w:rsidR="00AB4A52" w:rsidRDefault="005C6160" w:rsidP="00AB4A52">
      <w:pPr>
        <w:pStyle w:val="Default"/>
        <w:numPr>
          <w:ilvl w:val="2"/>
          <w:numId w:val="1"/>
        </w:numPr>
        <w:ind w:left="709" w:hanging="709"/>
      </w:pPr>
      <w:r>
        <w:t>Applicants referred to West of Scotland through, for example, local authority nominations or via CHRs</w:t>
      </w:r>
      <w:r w:rsidR="002B0268">
        <w:t xml:space="preserve"> will</w:t>
      </w:r>
      <w:r>
        <w:t xml:space="preserve"> </w:t>
      </w:r>
      <w:r w:rsidR="00CF41AA">
        <w:t>be allocated housing in accordance with the rules related to the CHRs or nominations arrangements</w:t>
      </w:r>
      <w:r>
        <w:t xml:space="preserve">. </w:t>
      </w:r>
    </w:p>
    <w:p w14:paraId="041178A8" w14:textId="77777777" w:rsidR="00CF41AA" w:rsidRDefault="00CF41AA" w:rsidP="00CF41AA">
      <w:pPr>
        <w:pStyle w:val="Default"/>
        <w:ind w:left="709"/>
      </w:pPr>
    </w:p>
    <w:p w14:paraId="33852ECA" w14:textId="1760D7B3" w:rsidR="00AB4A52" w:rsidRDefault="005C6160" w:rsidP="00AB4A52">
      <w:pPr>
        <w:pStyle w:val="Default"/>
        <w:numPr>
          <w:ilvl w:val="1"/>
          <w:numId w:val="1"/>
        </w:numPr>
        <w:ind w:left="709" w:hanging="709"/>
      </w:pPr>
      <w:bookmarkStart w:id="13" w:name="Nonstandardselections"/>
      <w:proofErr w:type="spellStart"/>
      <w:r>
        <w:t>Non standard</w:t>
      </w:r>
      <w:proofErr w:type="spellEnd"/>
      <w:r>
        <w:t xml:space="preserve"> selections</w:t>
      </w:r>
    </w:p>
    <w:bookmarkEnd w:id="13"/>
    <w:p w14:paraId="793F991C" w14:textId="77777777" w:rsidR="00AB4A52" w:rsidRDefault="00AB4A52" w:rsidP="00AB4A52">
      <w:pPr>
        <w:pStyle w:val="Default"/>
        <w:ind w:left="709"/>
      </w:pPr>
    </w:p>
    <w:p w14:paraId="1BAD9250" w14:textId="467E140D" w:rsidR="00AB4A52" w:rsidRDefault="005C6160" w:rsidP="00AB4A52">
      <w:pPr>
        <w:pStyle w:val="Default"/>
        <w:numPr>
          <w:ilvl w:val="2"/>
          <w:numId w:val="1"/>
        </w:numPr>
        <w:ind w:left="709" w:hanging="709"/>
      </w:pPr>
      <w:r>
        <w:t xml:space="preserve">West of </w:t>
      </w:r>
      <w:r w:rsidR="00CF41AA">
        <w:t>Scotland may</w:t>
      </w:r>
      <w:r>
        <w:t xml:space="preserve"> from time to time depart from the standard selection process to assist in the maintenance or development of balanced communities or </w:t>
      </w:r>
      <w:r w:rsidR="00CF41AA">
        <w:t xml:space="preserve">to </w:t>
      </w:r>
      <w:r>
        <w:t xml:space="preserve">make best use of </w:t>
      </w:r>
      <w:r w:rsidR="00CF41AA">
        <w:t>its</w:t>
      </w:r>
      <w:r>
        <w:t xml:space="preserve"> stock. Any applicant bypassed would normally be offered housing in the near future. The decision to bypass applicants must be sanctioned by the Team </w:t>
      </w:r>
      <w:r w:rsidR="00CF41AA">
        <w:t>Leader and</w:t>
      </w:r>
      <w:r>
        <w:t xml:space="preserve"> a clear audit trail provided.</w:t>
      </w:r>
    </w:p>
    <w:p w14:paraId="6DE5F3CC" w14:textId="77777777" w:rsidR="00AB4A52" w:rsidRDefault="00AB4A52" w:rsidP="00AB4A52">
      <w:pPr>
        <w:pStyle w:val="Default"/>
        <w:ind w:left="709"/>
      </w:pPr>
    </w:p>
    <w:p w14:paraId="18819FE5" w14:textId="680A0A02" w:rsidR="00B64B81" w:rsidRDefault="005C6160" w:rsidP="00B64B81">
      <w:pPr>
        <w:pStyle w:val="Default"/>
        <w:numPr>
          <w:ilvl w:val="2"/>
          <w:numId w:val="1"/>
        </w:numPr>
        <w:ind w:left="709" w:hanging="709"/>
      </w:pPr>
      <w:r>
        <w:t>Existing tenants may be transferred due to exceptional circumstances using a management transfer, even though they do not have high enough priority to be considered for the house they are allocated. Such transfers will be kept to a minimum, authori</w:t>
      </w:r>
      <w:r w:rsidR="00FE27DF">
        <w:t>s</w:t>
      </w:r>
      <w:r>
        <w:t xml:space="preserve">ed </w:t>
      </w:r>
      <w:r w:rsidR="00705DBB">
        <w:t>by</w:t>
      </w:r>
      <w:r>
        <w:t xml:space="preserve"> the Housing Manager</w:t>
      </w:r>
      <w:r w:rsidR="00FE27DF">
        <w:t>,</w:t>
      </w:r>
      <w:r>
        <w:t xml:space="preserve"> </w:t>
      </w:r>
      <w:r w:rsidR="00FE27DF">
        <w:t xml:space="preserve">or a manager of at least equivalent seniority, </w:t>
      </w:r>
      <w:r>
        <w:t>and a clear audit trail will be kept</w:t>
      </w:r>
      <w:r w:rsidR="00705DBB">
        <w:t xml:space="preserve"> which will be reported to the Corporate Management Team periodically</w:t>
      </w:r>
      <w:r>
        <w:t>. Use of management transfers will be monitored through Local Lettings Plans</w:t>
      </w:r>
      <w:r w:rsidR="00FE27DF">
        <w:t>/Strategies</w:t>
      </w:r>
      <w:r>
        <w:t>. West of Scotland may make a decision that an applicant would be unable to sustain a tenancy, and offer to consider them for supported accommodation, rather than rehousing through general needs housing.</w:t>
      </w:r>
    </w:p>
    <w:p w14:paraId="3FDFC7F6" w14:textId="77777777" w:rsidR="00B64B81" w:rsidRDefault="00B64B81" w:rsidP="00B64B81">
      <w:pPr>
        <w:pStyle w:val="ListParagraph"/>
      </w:pPr>
    </w:p>
    <w:p w14:paraId="4EFF3E59" w14:textId="1EE40AAE" w:rsidR="00B64B81" w:rsidRDefault="00B64B81" w:rsidP="00B64B81">
      <w:pPr>
        <w:pStyle w:val="Default"/>
        <w:numPr>
          <w:ilvl w:val="2"/>
          <w:numId w:val="1"/>
        </w:numPr>
        <w:ind w:left="709" w:hanging="709"/>
      </w:pPr>
      <w:r>
        <w:t>Strategic Consolidation Priority - if the Association makes a decision to dispose of its homes, such as a transfer to another landlord or demolition, WSHA tenants occupying properties directly affected by this decision will be given a Management Priority move. This must be authorised by the Corporate Management Team.</w:t>
      </w:r>
    </w:p>
    <w:p w14:paraId="5D2B8F4B" w14:textId="77777777" w:rsidR="00AB4A52" w:rsidRDefault="00AB4A52" w:rsidP="00AB4A52">
      <w:pPr>
        <w:pStyle w:val="ListParagraph"/>
      </w:pPr>
    </w:p>
    <w:p w14:paraId="618AAFB4" w14:textId="20838840" w:rsidR="00AB4A52" w:rsidRDefault="005C6160" w:rsidP="00AB4A52">
      <w:pPr>
        <w:pStyle w:val="Default"/>
        <w:numPr>
          <w:ilvl w:val="1"/>
          <w:numId w:val="1"/>
        </w:numPr>
        <w:ind w:left="709" w:hanging="709"/>
      </w:pPr>
      <w:bookmarkStart w:id="14" w:name="Informationforapplicants"/>
      <w:r>
        <w:t>Information for applicants</w:t>
      </w:r>
    </w:p>
    <w:bookmarkEnd w:id="14"/>
    <w:p w14:paraId="710EBC64" w14:textId="77777777" w:rsidR="00AB4A52" w:rsidRDefault="00AB4A52" w:rsidP="00AB4A52">
      <w:pPr>
        <w:pStyle w:val="Default"/>
        <w:ind w:left="709"/>
      </w:pPr>
    </w:p>
    <w:p w14:paraId="4775EBBA" w14:textId="68DBB997" w:rsidR="00AB4A52" w:rsidRPr="00705DBB" w:rsidRDefault="005C6160" w:rsidP="00AB4A52">
      <w:pPr>
        <w:pStyle w:val="Default"/>
        <w:numPr>
          <w:ilvl w:val="2"/>
          <w:numId w:val="1"/>
        </w:numPr>
        <w:ind w:left="709" w:hanging="709"/>
      </w:pPr>
      <w:r>
        <w:t xml:space="preserve">Where there is information available, West of </w:t>
      </w:r>
      <w:r w:rsidR="00FE27DF">
        <w:t>Scotland will</w:t>
      </w:r>
      <w:r>
        <w:t xml:space="preserve"> try to provide applicants with an estimate of the likely waiting time for their choice of property. This will be based on recent turnover of property and demand in </w:t>
      </w:r>
      <w:r w:rsidRPr="00705DBB">
        <w:t>their area(s) of choice.</w:t>
      </w:r>
    </w:p>
    <w:p w14:paraId="026F9176" w14:textId="77777777" w:rsidR="00AB4A52" w:rsidRPr="00705DBB" w:rsidRDefault="00AB4A52" w:rsidP="00AB4A52">
      <w:pPr>
        <w:pStyle w:val="Default"/>
        <w:ind w:left="709"/>
      </w:pPr>
    </w:p>
    <w:p w14:paraId="1AC1B4E8" w14:textId="1445F5FC" w:rsidR="00AB4A52" w:rsidRPr="00705DBB" w:rsidRDefault="005C6160" w:rsidP="00AB4A52">
      <w:pPr>
        <w:pStyle w:val="Default"/>
        <w:numPr>
          <w:ilvl w:val="1"/>
          <w:numId w:val="1"/>
        </w:numPr>
        <w:ind w:left="709" w:hanging="709"/>
      </w:pPr>
      <w:bookmarkStart w:id="15" w:name="Suspensions"/>
      <w:r w:rsidRPr="00705DBB">
        <w:t>Suspensions</w:t>
      </w:r>
    </w:p>
    <w:bookmarkEnd w:id="15"/>
    <w:p w14:paraId="5AFA85E2" w14:textId="77777777" w:rsidR="00AB4A52" w:rsidRDefault="00AB4A52" w:rsidP="00AB4A52">
      <w:pPr>
        <w:pStyle w:val="Default"/>
        <w:ind w:left="709"/>
      </w:pPr>
    </w:p>
    <w:p w14:paraId="4AFA312C" w14:textId="7B3D4989" w:rsidR="00AB4A52" w:rsidRDefault="005C6160" w:rsidP="00AB4A52">
      <w:pPr>
        <w:pStyle w:val="Default"/>
        <w:numPr>
          <w:ilvl w:val="2"/>
          <w:numId w:val="1"/>
        </w:numPr>
        <w:ind w:left="709" w:hanging="709"/>
      </w:pPr>
      <w:r>
        <w:t>Where West of Scotland accepts direct applications, the applicant(s) will be suspended from the waiting list for the following reasons outlined below</w:t>
      </w:r>
      <w:r w:rsidR="00AB4A52">
        <w:t>:</w:t>
      </w:r>
    </w:p>
    <w:p w14:paraId="793B03D4" w14:textId="680ECDFB" w:rsidR="00AB4A52" w:rsidRDefault="00AB4A52" w:rsidP="00AB4A52">
      <w:pPr>
        <w:pStyle w:val="Default"/>
        <w:ind w:left="709"/>
      </w:pPr>
    </w:p>
    <w:p w14:paraId="4159B680" w14:textId="77777777" w:rsidR="00AB4A52" w:rsidRDefault="00AB4A52" w:rsidP="00AB4A52">
      <w:pPr>
        <w:pStyle w:val="Default"/>
        <w:numPr>
          <w:ilvl w:val="0"/>
          <w:numId w:val="33"/>
        </w:numPr>
        <w:ind w:left="1134" w:hanging="425"/>
      </w:pPr>
      <w:r>
        <w:t>Where the applicant has rent arrears, or any other debts attributed to a current or previous tenancy and has not entered into a repayment scheme which has been maintained for 3 months or more.</w:t>
      </w:r>
    </w:p>
    <w:p w14:paraId="0C1CF5AD" w14:textId="5413EE37" w:rsidR="00AB4A52" w:rsidRDefault="00AB4A52" w:rsidP="00AB4A52">
      <w:pPr>
        <w:pStyle w:val="Default"/>
        <w:numPr>
          <w:ilvl w:val="0"/>
          <w:numId w:val="33"/>
        </w:numPr>
        <w:ind w:left="1134" w:hanging="425"/>
      </w:pPr>
      <w:r>
        <w:t xml:space="preserve">Where the applicant has tenancy related convictions and West of </w:t>
      </w:r>
      <w:r w:rsidR="00FE27DF">
        <w:t>Scotland is</w:t>
      </w:r>
      <w:r>
        <w:t xml:space="preserve"> not satisfied that such behaviour has ceased and is unlikely to re-occur;</w:t>
      </w:r>
    </w:p>
    <w:p w14:paraId="1C341849" w14:textId="09285190" w:rsidR="00AB4A52" w:rsidRDefault="00AB4A52" w:rsidP="00AB4A52">
      <w:pPr>
        <w:pStyle w:val="Default"/>
        <w:numPr>
          <w:ilvl w:val="0"/>
          <w:numId w:val="33"/>
        </w:numPr>
        <w:ind w:left="1134" w:hanging="425"/>
      </w:pPr>
      <w:r>
        <w:t>On grounds of conduct</w:t>
      </w:r>
      <w:r w:rsidR="00FE27DF">
        <w:t xml:space="preserve"> </w:t>
      </w:r>
      <w:r>
        <w:t>where the applicant has certain previous convictions; the applicant has had an order for recovery of possession on certain grounds made against them; and/or a previous tenancy has been terminated on the grounds of abandonment or neglect of the property.</w:t>
      </w:r>
    </w:p>
    <w:p w14:paraId="6ACDAFEB" w14:textId="07AB53F4" w:rsidR="00AE0290" w:rsidRDefault="008B5821" w:rsidP="00AB4A52">
      <w:pPr>
        <w:pStyle w:val="Default"/>
        <w:numPr>
          <w:ilvl w:val="0"/>
          <w:numId w:val="33"/>
        </w:numPr>
        <w:ind w:left="1134" w:hanging="425"/>
      </w:pPr>
      <w:r>
        <w:t>Where an applicant has acted in a</w:t>
      </w:r>
      <w:r w:rsidR="00C24CA9">
        <w:t xml:space="preserve">n antisocial </w:t>
      </w:r>
      <w:r>
        <w:t xml:space="preserve">manner, or pursued a course of conduct, </w:t>
      </w:r>
      <w:r w:rsidR="00C24CA9">
        <w:t>meeting</w:t>
      </w:r>
      <w:r>
        <w:t xml:space="preserve"> the definition specified in </w:t>
      </w:r>
      <w:r w:rsidR="00C24CA9">
        <w:t xml:space="preserve">section 20B(6) of </w:t>
      </w:r>
      <w:r>
        <w:t>the Housing (Scotland) Act 1987</w:t>
      </w:r>
    </w:p>
    <w:p w14:paraId="5EC74A57" w14:textId="77777777" w:rsidR="00AB4A52" w:rsidRDefault="00AB4A52" w:rsidP="00AB4A52">
      <w:pPr>
        <w:pStyle w:val="Default"/>
        <w:numPr>
          <w:ilvl w:val="0"/>
          <w:numId w:val="33"/>
        </w:numPr>
        <w:ind w:left="1134" w:hanging="425"/>
      </w:pPr>
      <w:r>
        <w:t>Where the applicant has provided false or misleading information or withheld relevant information.</w:t>
      </w:r>
    </w:p>
    <w:p w14:paraId="1F7DA67B" w14:textId="10B086F5" w:rsidR="00AB4A52" w:rsidRDefault="00AB4A52" w:rsidP="00AB4A52">
      <w:pPr>
        <w:pStyle w:val="Default"/>
        <w:numPr>
          <w:ilvl w:val="0"/>
          <w:numId w:val="33"/>
        </w:numPr>
        <w:ind w:left="1134" w:hanging="425"/>
      </w:pPr>
      <w:r>
        <w:t xml:space="preserve">Where the applicant has intentionally worsened their own circumstances to promote their application for housing (use of this reason requires approval from the Housing Manager or person of </w:t>
      </w:r>
      <w:r w:rsidR="002B0268">
        <w:t xml:space="preserve">at least </w:t>
      </w:r>
      <w:r>
        <w:t>equivalent seniority).</w:t>
      </w:r>
    </w:p>
    <w:p w14:paraId="75A02906" w14:textId="77777777" w:rsidR="00AB4A52" w:rsidRDefault="00AB4A52" w:rsidP="00AB4A52">
      <w:pPr>
        <w:pStyle w:val="Default"/>
        <w:numPr>
          <w:ilvl w:val="0"/>
          <w:numId w:val="33"/>
        </w:numPr>
        <w:ind w:left="1134" w:hanging="425"/>
      </w:pPr>
      <w:r>
        <w:t>Where the applicant is not eligible for assistance (for example an asylum seeker).</w:t>
      </w:r>
    </w:p>
    <w:p w14:paraId="1FDE69DC" w14:textId="5D531431" w:rsidR="00AB4A52" w:rsidRDefault="00AB4A52" w:rsidP="00AB4A52">
      <w:pPr>
        <w:pStyle w:val="Default"/>
        <w:numPr>
          <w:ilvl w:val="0"/>
          <w:numId w:val="33"/>
        </w:numPr>
        <w:ind w:left="1134" w:hanging="425"/>
      </w:pPr>
      <w:r>
        <w:t xml:space="preserve">Where a direct applicant has refused three reasonable offers of housing. A reasonable offer is defined as an offer for a property which </w:t>
      </w:r>
      <w:r w:rsidR="00FE27DF">
        <w:t xml:space="preserve">is </w:t>
      </w:r>
      <w:r>
        <w:t xml:space="preserve">based on application information and </w:t>
      </w:r>
      <w:r w:rsidR="00FE27DF">
        <w:t xml:space="preserve">preferences and </w:t>
      </w:r>
      <w:r>
        <w:t>will meet the applicant’s housing need.</w:t>
      </w:r>
    </w:p>
    <w:p w14:paraId="01D8A105" w14:textId="020CBE83" w:rsidR="00AB4A52" w:rsidRDefault="002B0268" w:rsidP="00AB4A52">
      <w:pPr>
        <w:pStyle w:val="Default"/>
        <w:numPr>
          <w:ilvl w:val="0"/>
          <w:numId w:val="33"/>
        </w:numPr>
        <w:ind w:left="1134" w:hanging="425"/>
      </w:pPr>
      <w:r>
        <w:t>The a</w:t>
      </w:r>
      <w:r w:rsidR="00AB4A52" w:rsidRPr="00705DBB">
        <w:t xml:space="preserve">pplicant </w:t>
      </w:r>
      <w:r>
        <w:t xml:space="preserve">wishes to be </w:t>
      </w:r>
      <w:r w:rsidR="00AB4A52" w:rsidRPr="00705DBB">
        <w:t xml:space="preserve">voluntarily </w:t>
      </w:r>
      <w:r w:rsidR="00946711" w:rsidRPr="00705DBB">
        <w:t>suspended</w:t>
      </w:r>
      <w:r w:rsidR="00AB4A52" w:rsidRPr="00705DBB">
        <w:t xml:space="preserve"> (for example due to ill health or change in employment reasons)</w:t>
      </w:r>
      <w:r w:rsidR="00705DBB">
        <w:t>.</w:t>
      </w:r>
      <w:r w:rsidR="00AB4A52" w:rsidRPr="00705DBB">
        <w:t xml:space="preserve"> </w:t>
      </w:r>
    </w:p>
    <w:p w14:paraId="6817DB04" w14:textId="55F21235" w:rsidR="00AE0290" w:rsidRPr="00705DBB" w:rsidRDefault="008B5821" w:rsidP="008B5821">
      <w:pPr>
        <w:pStyle w:val="Default"/>
        <w:numPr>
          <w:ilvl w:val="0"/>
          <w:numId w:val="33"/>
        </w:numPr>
        <w:ind w:left="1134" w:hanging="425"/>
      </w:pPr>
      <w:r w:rsidRPr="00705DBB">
        <w:t>Where an applicant has been violent or aggressive towards staff.</w:t>
      </w:r>
    </w:p>
    <w:p w14:paraId="4DA223FE" w14:textId="77777777" w:rsidR="00AB4A52" w:rsidRPr="00705DBB" w:rsidRDefault="00AB4A52" w:rsidP="00AB4A52">
      <w:pPr>
        <w:pStyle w:val="Default"/>
        <w:ind w:left="709"/>
      </w:pPr>
    </w:p>
    <w:p w14:paraId="6336AEBD" w14:textId="334E3ED1" w:rsidR="00AB4A52" w:rsidRDefault="005C6160" w:rsidP="00AB4A52">
      <w:pPr>
        <w:pStyle w:val="Default"/>
        <w:numPr>
          <w:ilvl w:val="2"/>
          <w:numId w:val="1"/>
        </w:numPr>
        <w:ind w:left="709" w:hanging="709"/>
      </w:pPr>
      <w:r w:rsidRPr="00705DBB">
        <w:lastRenderedPageBreak/>
        <w:t>The length of time that West of Scotland will consider when looking at an</w:t>
      </w:r>
      <w:r>
        <w:t xml:space="preserve"> applicant’s history and whether any of the suspension reasons in </w:t>
      </w:r>
      <w:r w:rsidR="00FE27DF">
        <w:t>8.7.1</w:t>
      </w:r>
      <w:r>
        <w:t xml:space="preserve"> apply will be up to three years. This would start from the time the act was perpetrated and will apply on a rolling basis. For example, if three years was applied, and the tenancy breach was carried out one year before an application was made, then the applicant would be suspended for a further two years.</w:t>
      </w:r>
    </w:p>
    <w:p w14:paraId="5BCCA9E5" w14:textId="77777777" w:rsidR="007A0523" w:rsidRDefault="007A0523" w:rsidP="007A0523">
      <w:pPr>
        <w:pStyle w:val="Default"/>
        <w:ind w:left="709"/>
      </w:pPr>
    </w:p>
    <w:p w14:paraId="5179168D" w14:textId="6EF5FEA9" w:rsidR="00AB4A52" w:rsidRDefault="005C6160" w:rsidP="00AB4A52">
      <w:pPr>
        <w:pStyle w:val="Default"/>
        <w:numPr>
          <w:ilvl w:val="2"/>
          <w:numId w:val="1"/>
        </w:numPr>
        <w:ind w:left="709" w:hanging="709"/>
      </w:pPr>
      <w:r>
        <w:t xml:space="preserve">Suspensions will be the subject of a regular review process. However, applicants may appeal in writing against a decision to refuse access or suspend them </w:t>
      </w:r>
      <w:r w:rsidR="00FE27DF">
        <w:t>to the</w:t>
      </w:r>
      <w:r>
        <w:t xml:space="preserve"> Housing Manager or person with </w:t>
      </w:r>
      <w:r w:rsidR="002B0268">
        <w:t xml:space="preserve">at least </w:t>
      </w:r>
      <w:r>
        <w:t xml:space="preserve">equivalent seniority within 15 working days. If the applicant is not satisfied with the outcome of the appeal, the next stage to follow </w:t>
      </w:r>
      <w:r w:rsidR="00FE27DF">
        <w:t>is West</w:t>
      </w:r>
      <w:r>
        <w:t xml:space="preserve"> of Scotland</w:t>
      </w:r>
      <w:r w:rsidR="00FE27DF">
        <w:t>’</w:t>
      </w:r>
      <w:r>
        <w:t xml:space="preserve">s </w:t>
      </w:r>
      <w:r w:rsidR="00FE27DF">
        <w:t>C</w:t>
      </w:r>
      <w:r>
        <w:t xml:space="preserve">omplaints </w:t>
      </w:r>
      <w:r w:rsidR="00FE27DF">
        <w:t>H</w:t>
      </w:r>
      <w:r>
        <w:t xml:space="preserve">andling </w:t>
      </w:r>
      <w:r w:rsidR="00FE27DF">
        <w:t>P</w:t>
      </w:r>
      <w:r>
        <w:t>rocedure. Any suspended applicant will be informed in writing with full reasons for the decision, outlining the steps they need to take to remove the suspension.</w:t>
      </w:r>
    </w:p>
    <w:p w14:paraId="3F34F4CD" w14:textId="77777777" w:rsidR="00AB4A52" w:rsidRDefault="00AB4A52" w:rsidP="002B0268"/>
    <w:p w14:paraId="61BAE87C" w14:textId="77777777" w:rsidR="00AB4A52" w:rsidRDefault="005C6160" w:rsidP="00AB4A52">
      <w:pPr>
        <w:pStyle w:val="Default"/>
        <w:numPr>
          <w:ilvl w:val="2"/>
          <w:numId w:val="1"/>
        </w:numPr>
        <w:ind w:left="709" w:hanging="709"/>
      </w:pPr>
      <w:r>
        <w:t>Suspensions cannot be applied to a homeless household which the local authority has a duty to rehouse (section 5 referrals) or applicants with a homeless priority unless the applicant has requested a voluntarily suspension.</w:t>
      </w:r>
    </w:p>
    <w:p w14:paraId="5A75BB28" w14:textId="77777777" w:rsidR="00AB4A52" w:rsidRDefault="00AB4A52" w:rsidP="00AB4A52">
      <w:pPr>
        <w:pStyle w:val="ListParagraph"/>
      </w:pPr>
    </w:p>
    <w:p w14:paraId="41A96F2D" w14:textId="77777777" w:rsidR="007E23B2" w:rsidRDefault="005C6160" w:rsidP="007E23B2">
      <w:pPr>
        <w:pStyle w:val="Default"/>
        <w:numPr>
          <w:ilvl w:val="2"/>
          <w:numId w:val="1"/>
        </w:numPr>
        <w:ind w:left="709" w:hanging="709"/>
      </w:pPr>
      <w:r>
        <w:t>Arrears and other tenancy related debts</w:t>
      </w:r>
      <w:r w:rsidR="007E23B2">
        <w:t xml:space="preserve"> - w</w:t>
      </w:r>
      <w:r>
        <w:t>here a tenant or applicant owes more than one twelfth of the annual amount payable in relation to a current or former tenancy, their application will be suspended from the active housing list unless there is an appropriate arrangement to pay outstanding debts and this arrangement has been maintained for the previous three months. The Housing Manager has the discretion to approve an offer of housing to an applicant who does not meet these conditions where there are extenuating circumstances.</w:t>
      </w:r>
    </w:p>
    <w:p w14:paraId="1C1AEF03" w14:textId="77777777" w:rsidR="007E23B2" w:rsidRDefault="007E23B2" w:rsidP="007E23B2">
      <w:pPr>
        <w:pStyle w:val="ListParagraph"/>
      </w:pPr>
    </w:p>
    <w:p w14:paraId="0763EC64" w14:textId="3BD4B60D" w:rsidR="007E23B2" w:rsidRDefault="005C6160" w:rsidP="007E23B2">
      <w:pPr>
        <w:pStyle w:val="Default"/>
        <w:numPr>
          <w:ilvl w:val="2"/>
          <w:numId w:val="1"/>
        </w:numPr>
        <w:ind w:left="709" w:hanging="709"/>
      </w:pPr>
      <w:r>
        <w:t>If the applicant was the member of a household but not the tenant</w:t>
      </w:r>
      <w:r w:rsidR="00207DEB">
        <w:t xml:space="preserve">, </w:t>
      </w:r>
      <w:r>
        <w:t>West of Scotland will not take into account tenancy related debt for the purposes of assessing their application. Any arrears which are equal to or less than one twelfth of the annual amount payable for any tenancy the applicant held will not be taken into account.</w:t>
      </w:r>
    </w:p>
    <w:p w14:paraId="1F7065D0" w14:textId="77777777" w:rsidR="007E23B2" w:rsidRDefault="007E23B2" w:rsidP="007E23B2">
      <w:pPr>
        <w:pStyle w:val="ListParagraph"/>
      </w:pPr>
    </w:p>
    <w:p w14:paraId="2A5BB5A6" w14:textId="77777777" w:rsidR="007E23B2" w:rsidRDefault="005C6160" w:rsidP="007E23B2">
      <w:pPr>
        <w:pStyle w:val="Default"/>
        <w:numPr>
          <w:ilvl w:val="2"/>
          <w:numId w:val="1"/>
        </w:numPr>
        <w:ind w:left="709" w:hanging="709"/>
      </w:pPr>
      <w:r>
        <w:t>Where tenancy debts are over five years old, applicants will not be suspended. The Housing Manager may remove the suspension in exceptional circumstances, taking into consideration the personal circumstances of the applicant, the level of debt and the reasons for the debt arising. Any tenant who is allowed to start a tenancy with arrears owing to us must sign an undertaking to pay off the arrears within a reasonable time period which will be determined by West of Scotland</w:t>
      </w:r>
      <w:r w:rsidR="007E23B2">
        <w:t>.</w:t>
      </w:r>
    </w:p>
    <w:p w14:paraId="1B546C16" w14:textId="77777777" w:rsidR="007E23B2" w:rsidRDefault="007E23B2" w:rsidP="007E23B2">
      <w:pPr>
        <w:pStyle w:val="ListParagraph"/>
      </w:pPr>
    </w:p>
    <w:p w14:paraId="2C3E46E7" w14:textId="17F3E232" w:rsidR="007E23B2" w:rsidRDefault="005C6160" w:rsidP="007E23B2">
      <w:pPr>
        <w:pStyle w:val="Default"/>
        <w:numPr>
          <w:ilvl w:val="2"/>
          <w:numId w:val="1"/>
        </w:numPr>
        <w:ind w:left="709" w:hanging="709"/>
      </w:pPr>
      <w:r>
        <w:t>Antisocial behaviour (ASB)</w:t>
      </w:r>
      <w:r w:rsidR="007E23B2">
        <w:t xml:space="preserve"> - a</w:t>
      </w:r>
      <w:r>
        <w:t xml:space="preserve">pplicants will only be suspended for ASB which is serious, and which is tenancy related, for example a breach of tenancy agreement. When deciding if any ASB is serious enough to merit suspension, </w:t>
      </w:r>
      <w:r>
        <w:lastRenderedPageBreak/>
        <w:t>the criteria for eviction set out in section 16(3) of the Housing (Scotland) 2001 Act will be taken into account.</w:t>
      </w:r>
    </w:p>
    <w:p w14:paraId="6C32E8C0" w14:textId="77777777" w:rsidR="007E23B2" w:rsidRDefault="007E23B2" w:rsidP="007E23B2">
      <w:pPr>
        <w:pStyle w:val="ListParagraph"/>
      </w:pPr>
    </w:p>
    <w:p w14:paraId="4C6785AB" w14:textId="4D39EC2B" w:rsidR="007E23B2" w:rsidRDefault="005C6160" w:rsidP="007E23B2">
      <w:pPr>
        <w:pStyle w:val="Default"/>
        <w:numPr>
          <w:ilvl w:val="2"/>
          <w:numId w:val="1"/>
        </w:numPr>
        <w:ind w:left="709" w:hanging="709"/>
      </w:pPr>
      <w:r>
        <w:t xml:space="preserve">Where applicants have caused serious ASB problems within the previous three years, or terminated or abandoned </w:t>
      </w:r>
      <w:r w:rsidR="00207DEB">
        <w:t>a West</w:t>
      </w:r>
      <w:r>
        <w:t xml:space="preserve"> of Scotland tenancy</w:t>
      </w:r>
      <w:r w:rsidR="00207DEB">
        <w:t>,</w:t>
      </w:r>
      <w:r>
        <w:t xml:space="preserve"> or other Landlord’s tenancy where they were responsible for </w:t>
      </w:r>
      <w:r w:rsidR="00207DEB">
        <w:t>wilful</w:t>
      </w:r>
      <w:r>
        <w:t xml:space="preserve"> damage</w:t>
      </w:r>
      <w:r w:rsidR="00207DEB">
        <w:t>,</w:t>
      </w:r>
      <w:r>
        <w:t xml:space="preserve"> other options such as granting a Short Scottish Secure Tenancy will be considered.</w:t>
      </w:r>
    </w:p>
    <w:p w14:paraId="3A7FE14A" w14:textId="77777777" w:rsidR="007E23B2" w:rsidRDefault="007E23B2" w:rsidP="007E23B2">
      <w:pPr>
        <w:pStyle w:val="ListParagraph"/>
      </w:pPr>
    </w:p>
    <w:p w14:paraId="3D10F99C" w14:textId="422615EC" w:rsidR="007E23B2" w:rsidRDefault="005C6160" w:rsidP="007E23B2">
      <w:pPr>
        <w:pStyle w:val="Default"/>
        <w:numPr>
          <w:ilvl w:val="2"/>
          <w:numId w:val="1"/>
        </w:numPr>
        <w:ind w:left="709" w:hanging="709"/>
      </w:pPr>
      <w:r>
        <w:t>Threatening or abusive behaviou</w:t>
      </w:r>
      <w:r w:rsidR="007E23B2">
        <w:t>r - w</w:t>
      </w:r>
      <w:r>
        <w:t>hen an applicant behaves in a threatening or abusive way towards a member of staff, West of Scotland will consider a suspension based on the seriousness of the behaviour. Careful judgement must be used as the behaviour may be a symptom of mental ill health or a momentary expression of frustration. When deciding if the behaviour is serious enough to merit suspension, West of Scotland will consider:</w:t>
      </w:r>
    </w:p>
    <w:p w14:paraId="5B525B6B" w14:textId="77777777" w:rsidR="00207DEB" w:rsidRDefault="00207DEB" w:rsidP="00207DEB">
      <w:pPr>
        <w:pStyle w:val="ListParagraph"/>
      </w:pPr>
    </w:p>
    <w:p w14:paraId="1A2356E5" w14:textId="77777777" w:rsidR="004C7163" w:rsidRDefault="00207DEB" w:rsidP="004C7163">
      <w:pPr>
        <w:pStyle w:val="Default"/>
        <w:numPr>
          <w:ilvl w:val="0"/>
          <w:numId w:val="47"/>
        </w:numPr>
        <w:ind w:left="1134" w:hanging="425"/>
      </w:pPr>
      <w:r>
        <w:t>the level of the seriousness of the behaviour, with some consideration</w:t>
      </w:r>
      <w:r w:rsidR="004C7163">
        <w:t xml:space="preserve"> </w:t>
      </w:r>
      <w:r>
        <w:t>as to whether the level could or should have led to the applicant being</w:t>
      </w:r>
      <w:r w:rsidR="004C7163">
        <w:t xml:space="preserve"> </w:t>
      </w:r>
      <w:r>
        <w:t xml:space="preserve">charged; </w:t>
      </w:r>
    </w:p>
    <w:p w14:paraId="1EBA075D" w14:textId="77777777" w:rsidR="004C7163" w:rsidRDefault="00207DEB" w:rsidP="004C7163">
      <w:pPr>
        <w:pStyle w:val="Default"/>
        <w:numPr>
          <w:ilvl w:val="0"/>
          <w:numId w:val="47"/>
        </w:numPr>
        <w:ind w:left="1134" w:hanging="425"/>
      </w:pPr>
      <w:r>
        <w:t>the frequency of any behaviour; and</w:t>
      </w:r>
    </w:p>
    <w:p w14:paraId="4A23D294" w14:textId="4051D736" w:rsidR="00207DEB" w:rsidRDefault="00207DEB" w:rsidP="004C7163">
      <w:pPr>
        <w:pStyle w:val="Default"/>
        <w:numPr>
          <w:ilvl w:val="0"/>
          <w:numId w:val="47"/>
        </w:numPr>
        <w:ind w:left="1134" w:hanging="425"/>
      </w:pPr>
      <w:r>
        <w:t>any mitigating circumstances such as mental ill health.</w:t>
      </w:r>
    </w:p>
    <w:p w14:paraId="4F4497AF" w14:textId="77777777" w:rsidR="007E23B2" w:rsidRDefault="007E23B2" w:rsidP="007E23B2">
      <w:pPr>
        <w:pStyle w:val="ListParagraph"/>
      </w:pPr>
    </w:p>
    <w:p w14:paraId="4AAEB45A" w14:textId="2B49B06C" w:rsidR="007E23B2" w:rsidRDefault="005C6160" w:rsidP="007E23B2">
      <w:pPr>
        <w:pStyle w:val="Default"/>
        <w:numPr>
          <w:ilvl w:val="1"/>
          <w:numId w:val="1"/>
        </w:numPr>
        <w:ind w:left="709" w:hanging="709"/>
      </w:pPr>
      <w:bookmarkStart w:id="16" w:name="Nominationsandreferrals"/>
      <w:r>
        <w:t>Nominations and referrals</w:t>
      </w:r>
    </w:p>
    <w:bookmarkEnd w:id="16"/>
    <w:p w14:paraId="4501DCE6" w14:textId="77777777" w:rsidR="007E23B2" w:rsidRDefault="007E23B2" w:rsidP="007E23B2">
      <w:pPr>
        <w:pStyle w:val="Default"/>
        <w:ind w:left="709"/>
      </w:pPr>
    </w:p>
    <w:p w14:paraId="13FB335F" w14:textId="26EE8321" w:rsidR="007E23B2" w:rsidRDefault="005C6160" w:rsidP="007E23B2">
      <w:pPr>
        <w:pStyle w:val="Default"/>
        <w:numPr>
          <w:ilvl w:val="2"/>
          <w:numId w:val="1"/>
        </w:numPr>
        <w:ind w:left="709" w:hanging="709"/>
      </w:pPr>
      <w:r>
        <w:t>West of Scotland will seek to enter into formal partnership arrangements with the local authorities within its geographical area of operation.</w:t>
      </w:r>
    </w:p>
    <w:p w14:paraId="272944A2" w14:textId="77777777" w:rsidR="007E23B2" w:rsidRDefault="007E23B2" w:rsidP="007E23B2">
      <w:pPr>
        <w:pStyle w:val="Default"/>
        <w:ind w:left="709"/>
      </w:pPr>
    </w:p>
    <w:p w14:paraId="65DE85A5" w14:textId="77777777" w:rsidR="007E23B2" w:rsidRDefault="005C6160" w:rsidP="007E23B2">
      <w:pPr>
        <w:pStyle w:val="Default"/>
        <w:numPr>
          <w:ilvl w:val="2"/>
          <w:numId w:val="1"/>
        </w:numPr>
        <w:ind w:left="709" w:hanging="709"/>
      </w:pPr>
      <w:r>
        <w:t>The partnership arrangements will set out nomination agreements between the two bodies and the basis on which West of Scotland will assist the local authority in meeting housing needs and its statutory homelessness duties.</w:t>
      </w:r>
    </w:p>
    <w:p w14:paraId="24BA048D" w14:textId="77777777" w:rsidR="007E23B2" w:rsidRDefault="007E23B2" w:rsidP="007E23B2">
      <w:pPr>
        <w:pStyle w:val="ListParagraph"/>
      </w:pPr>
    </w:p>
    <w:p w14:paraId="054175B7" w14:textId="15C3C785" w:rsidR="007E23B2" w:rsidRDefault="005C6160" w:rsidP="007E23B2">
      <w:pPr>
        <w:pStyle w:val="Default"/>
        <w:numPr>
          <w:ilvl w:val="2"/>
          <w:numId w:val="1"/>
        </w:numPr>
        <w:ind w:left="709" w:hanging="709"/>
      </w:pPr>
      <w:r>
        <w:t>Partnership arrangements will normally allow the Council to either nominate, or accept through section 5 referrals, a percentage of local lets. Nomination agreements may in exceptional circumstances be up to 100 per cent in some areas where this is a contractual requirement</w:t>
      </w:r>
      <w:r w:rsidR="004C7163">
        <w:t xml:space="preserve"> e.g. first let of new build housing</w:t>
      </w:r>
      <w:r>
        <w:t>.</w:t>
      </w:r>
    </w:p>
    <w:p w14:paraId="3B4DB064" w14:textId="77777777" w:rsidR="007E23B2" w:rsidRDefault="007E23B2" w:rsidP="007E23B2">
      <w:pPr>
        <w:pStyle w:val="ListParagraph"/>
      </w:pPr>
    </w:p>
    <w:p w14:paraId="45B1EAF4" w14:textId="77777777" w:rsidR="007E23B2" w:rsidRDefault="005C6160" w:rsidP="007E23B2">
      <w:pPr>
        <w:pStyle w:val="Default"/>
        <w:numPr>
          <w:ilvl w:val="2"/>
          <w:numId w:val="1"/>
        </w:numPr>
        <w:ind w:left="709" w:hanging="709"/>
      </w:pPr>
      <w:r>
        <w:t xml:space="preserve">West of Scotland will aim to work with local partners in the development of CHRs where practical. </w:t>
      </w:r>
    </w:p>
    <w:p w14:paraId="558F62AA" w14:textId="77777777" w:rsidR="007E23B2" w:rsidRDefault="007E23B2" w:rsidP="007E23B2">
      <w:pPr>
        <w:pStyle w:val="ListParagraph"/>
      </w:pPr>
    </w:p>
    <w:p w14:paraId="311EF44C" w14:textId="77777777" w:rsidR="007E23B2" w:rsidRDefault="005C6160" w:rsidP="007E23B2">
      <w:pPr>
        <w:pStyle w:val="Default"/>
        <w:numPr>
          <w:ilvl w:val="2"/>
          <w:numId w:val="1"/>
        </w:numPr>
        <w:ind w:left="709" w:hanging="709"/>
      </w:pPr>
      <w:r>
        <w:t>West of Scotland will provide both temporary and permanent accommodation for homeless people upon the request of the local authority as part of its duty to secure permanent accommodation under the homelessness legislation.</w:t>
      </w:r>
    </w:p>
    <w:p w14:paraId="0B8ED923" w14:textId="77777777" w:rsidR="007E23B2" w:rsidRDefault="007E23B2" w:rsidP="007E23B2">
      <w:pPr>
        <w:pStyle w:val="ListParagraph"/>
      </w:pPr>
    </w:p>
    <w:p w14:paraId="7857C154" w14:textId="4CA0EBE5" w:rsidR="007E23B2" w:rsidRDefault="005C6160" w:rsidP="007E23B2">
      <w:pPr>
        <w:pStyle w:val="Default"/>
        <w:numPr>
          <w:ilvl w:val="2"/>
          <w:numId w:val="1"/>
        </w:numPr>
        <w:ind w:left="709" w:hanging="709"/>
      </w:pPr>
      <w:r>
        <w:t xml:space="preserve">Where this is not possible, there must be a good reason as per the </w:t>
      </w:r>
      <w:r w:rsidR="004C7163">
        <w:t>‘</w:t>
      </w:r>
      <w:hyperlink r:id="rId38" w:history="1">
        <w:r w:rsidRPr="004C7163">
          <w:rPr>
            <w:rStyle w:val="Hyperlink"/>
          </w:rPr>
          <w:t>Housing (Scotland) Act 2001 ‘Homelessness Section 5: Guidance on Good Reason</w:t>
        </w:r>
      </w:hyperlink>
      <w:r>
        <w:t>’, for example:</w:t>
      </w:r>
    </w:p>
    <w:p w14:paraId="59A0BCB5" w14:textId="3E7E783A" w:rsidR="007E23B2" w:rsidRDefault="007E23B2" w:rsidP="007E23B2">
      <w:pPr>
        <w:pStyle w:val="ListParagraph"/>
      </w:pPr>
    </w:p>
    <w:p w14:paraId="755CC883" w14:textId="77777777" w:rsidR="007E23B2" w:rsidRDefault="007E23B2" w:rsidP="007E23B2">
      <w:pPr>
        <w:pStyle w:val="Default"/>
        <w:numPr>
          <w:ilvl w:val="0"/>
          <w:numId w:val="34"/>
        </w:numPr>
      </w:pPr>
      <w:r>
        <w:lastRenderedPageBreak/>
        <w:t>West of Scotland is unable to make suitable housing available within six weeks of the request and the local authority is satisfied that it can source appropriate accommodation from another provider in a reasonable period;</w:t>
      </w:r>
    </w:p>
    <w:p w14:paraId="27F3A1D4" w14:textId="5486968B" w:rsidR="007E23B2" w:rsidRDefault="007E23B2" w:rsidP="007E23B2">
      <w:pPr>
        <w:pStyle w:val="Default"/>
        <w:numPr>
          <w:ilvl w:val="0"/>
          <w:numId w:val="34"/>
        </w:numPr>
      </w:pPr>
      <w:r>
        <w:t>the only housing available is a type which is not appropriate for the applicant, for example sheltered housing, specialist accommodation, or significantly adapted properties for occupation by people with a disability.</w:t>
      </w:r>
    </w:p>
    <w:p w14:paraId="2234D873" w14:textId="77777777" w:rsidR="007E23B2" w:rsidRDefault="007E23B2" w:rsidP="007E23B2">
      <w:pPr>
        <w:pStyle w:val="Default"/>
        <w:numPr>
          <w:ilvl w:val="0"/>
          <w:numId w:val="34"/>
        </w:numPr>
      </w:pPr>
      <w:r>
        <w:t>where the local authority withdraws the referral (this could be related to the first bullet point as an example); or</w:t>
      </w:r>
    </w:p>
    <w:p w14:paraId="3A2CF6DF" w14:textId="3028A453" w:rsidR="007E23B2" w:rsidRDefault="007E23B2" w:rsidP="007E23B2">
      <w:pPr>
        <w:pStyle w:val="Default"/>
        <w:numPr>
          <w:ilvl w:val="0"/>
          <w:numId w:val="34"/>
        </w:numPr>
      </w:pPr>
      <w:r>
        <w:t>where the applicant has voluntarily suspended their application.</w:t>
      </w:r>
    </w:p>
    <w:p w14:paraId="6853882C" w14:textId="77777777" w:rsidR="007E23B2" w:rsidRDefault="007E23B2" w:rsidP="004C7163"/>
    <w:p w14:paraId="6553D265" w14:textId="77777777" w:rsidR="007E23B2" w:rsidRDefault="005C6160" w:rsidP="007E23B2">
      <w:pPr>
        <w:pStyle w:val="Default"/>
        <w:numPr>
          <w:ilvl w:val="2"/>
          <w:numId w:val="1"/>
        </w:numPr>
        <w:ind w:left="709" w:hanging="709"/>
      </w:pPr>
      <w:r>
        <w:t>Any dispute arising from the operation of these arrangements will be resolved either through the dispute process agreed with each of the local authorities or through the use of an Arbiter.</w:t>
      </w:r>
    </w:p>
    <w:p w14:paraId="5BBB4FBF" w14:textId="77777777" w:rsidR="007E23B2" w:rsidRDefault="007E23B2" w:rsidP="007E23B2">
      <w:pPr>
        <w:pStyle w:val="ListParagraph"/>
      </w:pPr>
    </w:p>
    <w:p w14:paraId="4FB0BF3C" w14:textId="50FDAA59" w:rsidR="007E23B2" w:rsidRDefault="005C6160" w:rsidP="007E23B2">
      <w:pPr>
        <w:pStyle w:val="Default"/>
        <w:numPr>
          <w:ilvl w:val="2"/>
          <w:numId w:val="1"/>
        </w:numPr>
        <w:ind w:left="709" w:hanging="709"/>
      </w:pPr>
      <w:r>
        <w:t xml:space="preserve">Referral arrangements with voluntary or other agencies that specialise in providing support to particular groups of people may also be agreed. Such arrangements </w:t>
      </w:r>
      <w:r w:rsidR="004C7163">
        <w:t>may</w:t>
      </w:r>
      <w:r>
        <w:t xml:space="preserve"> be identified within Local Lettings Plans</w:t>
      </w:r>
      <w:r w:rsidR="004C7163">
        <w:t>/Strategies</w:t>
      </w:r>
      <w:r>
        <w:t>.</w:t>
      </w:r>
    </w:p>
    <w:p w14:paraId="4AA5340B" w14:textId="77777777" w:rsidR="007E23B2" w:rsidRDefault="007E23B2" w:rsidP="007E23B2">
      <w:pPr>
        <w:pStyle w:val="ListParagraph"/>
      </w:pPr>
    </w:p>
    <w:p w14:paraId="306C8374" w14:textId="4DFBC677" w:rsidR="007E23B2" w:rsidRDefault="005C6160" w:rsidP="007E23B2">
      <w:pPr>
        <w:pStyle w:val="Default"/>
        <w:numPr>
          <w:ilvl w:val="1"/>
          <w:numId w:val="1"/>
        </w:numPr>
        <w:ind w:left="709" w:hanging="709"/>
      </w:pPr>
      <w:bookmarkStart w:id="17" w:name="Housetypesandsizestobeallocated"/>
      <w:r>
        <w:t>House types and sizes to be allocated</w:t>
      </w:r>
      <w:bookmarkEnd w:id="17"/>
    </w:p>
    <w:p w14:paraId="4EF9AE74" w14:textId="77777777" w:rsidR="007E23B2" w:rsidRDefault="007E23B2" w:rsidP="007E23B2">
      <w:pPr>
        <w:pStyle w:val="Default"/>
        <w:ind w:left="709"/>
      </w:pPr>
    </w:p>
    <w:p w14:paraId="0C15A306" w14:textId="3F4B3B6C" w:rsidR="007E23B2" w:rsidRDefault="005C6160" w:rsidP="007E23B2">
      <w:pPr>
        <w:pStyle w:val="Default"/>
        <w:numPr>
          <w:ilvl w:val="2"/>
          <w:numId w:val="1"/>
        </w:numPr>
        <w:ind w:left="709" w:hanging="709"/>
      </w:pPr>
      <w:r>
        <w:t xml:space="preserve">West of Scotland will generally attempt to allocate houses of the type expressed as a preference given on the application form. Where a medical priority recommends that a ground floor house all on one level is required, properties with some stairs may be allocated if this would alleviate the applicant’s </w:t>
      </w:r>
      <w:r w:rsidR="00857054">
        <w:t>situation and</w:t>
      </w:r>
      <w:r>
        <w:t xml:space="preserve"> is in line with any guidance from the applicants GP or Occupational Therapist</w:t>
      </w:r>
      <w:r w:rsidR="007E23B2">
        <w:t>.</w:t>
      </w:r>
    </w:p>
    <w:p w14:paraId="08B5DC79" w14:textId="77777777" w:rsidR="007E23B2" w:rsidRDefault="007E23B2" w:rsidP="007E23B2">
      <w:pPr>
        <w:pStyle w:val="Default"/>
        <w:ind w:left="709"/>
      </w:pPr>
    </w:p>
    <w:p w14:paraId="31AAA42A" w14:textId="77777777" w:rsidR="007E23B2" w:rsidRDefault="005C6160" w:rsidP="007E23B2">
      <w:pPr>
        <w:pStyle w:val="Default"/>
        <w:numPr>
          <w:ilvl w:val="2"/>
          <w:numId w:val="1"/>
        </w:numPr>
        <w:ind w:left="709" w:hanging="709"/>
      </w:pPr>
      <w:r>
        <w:t>West of Scotland will not normally allow an applicant to move into a property which is too small for their needs. Direct applicants will normally only be considered for a property that has the correct number of bedrooms needed.</w:t>
      </w:r>
    </w:p>
    <w:p w14:paraId="7A68AC0E" w14:textId="77777777" w:rsidR="007E23B2" w:rsidRDefault="007E23B2" w:rsidP="007E23B2">
      <w:pPr>
        <w:pStyle w:val="ListParagraph"/>
      </w:pPr>
    </w:p>
    <w:p w14:paraId="1D3BC5F1" w14:textId="49D2C418" w:rsidR="0045786F" w:rsidRDefault="005C6160" w:rsidP="0045786F">
      <w:pPr>
        <w:pStyle w:val="Default"/>
        <w:numPr>
          <w:ilvl w:val="2"/>
          <w:numId w:val="1"/>
        </w:numPr>
        <w:ind w:left="709" w:hanging="709"/>
      </w:pPr>
      <w:r>
        <w:t>General guide to house size</w:t>
      </w:r>
      <w:r w:rsidR="007E23B2">
        <w:t xml:space="preserve"> - t</w:t>
      </w:r>
      <w:r>
        <w:t>he following table is a general guide to the minimum size of houses which may be offered to applicants.</w:t>
      </w:r>
    </w:p>
    <w:p w14:paraId="3E59A3F5" w14:textId="77777777" w:rsidR="0045786F" w:rsidRDefault="0045786F" w:rsidP="0045786F">
      <w:pPr>
        <w:pStyle w:val="Default"/>
        <w:ind w:left="709"/>
      </w:pPr>
    </w:p>
    <w:tbl>
      <w:tblPr>
        <w:tblW w:w="8329"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53"/>
        <w:gridCol w:w="2976"/>
      </w:tblGrid>
      <w:tr w:rsidR="0045786F" w14:paraId="407E545E" w14:textId="77777777" w:rsidTr="009A1FEC">
        <w:trPr>
          <w:trHeight w:val="395"/>
        </w:trPr>
        <w:tc>
          <w:tcPr>
            <w:tcW w:w="5353" w:type="dxa"/>
            <w:shd w:val="clear" w:color="auto" w:fill="E0E0E0"/>
          </w:tcPr>
          <w:p w14:paraId="0FF3B6FD" w14:textId="77777777" w:rsidR="0045786F" w:rsidRDefault="0045786F" w:rsidP="009A1FEC">
            <w:pPr>
              <w:pStyle w:val="TableParagraph"/>
              <w:spacing w:before="60"/>
              <w:ind w:left="71"/>
              <w:rPr>
                <w:b/>
                <w:sz w:val="24"/>
              </w:rPr>
            </w:pPr>
            <w:r>
              <w:rPr>
                <w:b/>
                <w:sz w:val="24"/>
              </w:rPr>
              <w:t>Household</w:t>
            </w:r>
          </w:p>
        </w:tc>
        <w:tc>
          <w:tcPr>
            <w:tcW w:w="2976" w:type="dxa"/>
            <w:shd w:val="clear" w:color="auto" w:fill="E0E0E0"/>
          </w:tcPr>
          <w:p w14:paraId="13BFCF3F" w14:textId="77777777" w:rsidR="0045786F" w:rsidRDefault="0045786F" w:rsidP="009A1FEC">
            <w:pPr>
              <w:pStyle w:val="TableParagraph"/>
              <w:spacing w:before="60"/>
              <w:rPr>
                <w:b/>
                <w:sz w:val="24"/>
              </w:rPr>
            </w:pPr>
            <w:r>
              <w:rPr>
                <w:b/>
                <w:sz w:val="24"/>
              </w:rPr>
              <w:t>Minimum Size</w:t>
            </w:r>
          </w:p>
        </w:tc>
      </w:tr>
      <w:tr w:rsidR="0045786F" w14:paraId="26A0104F" w14:textId="77777777" w:rsidTr="009A1FEC">
        <w:trPr>
          <w:trHeight w:val="340"/>
        </w:trPr>
        <w:tc>
          <w:tcPr>
            <w:tcW w:w="5353" w:type="dxa"/>
          </w:tcPr>
          <w:p w14:paraId="497761A1" w14:textId="77777777" w:rsidR="0045786F" w:rsidRPr="0045786F" w:rsidRDefault="0045786F" w:rsidP="009A1FEC">
            <w:pPr>
              <w:pStyle w:val="TableParagraph"/>
              <w:spacing w:before="34"/>
              <w:rPr>
                <w:sz w:val="24"/>
              </w:rPr>
            </w:pPr>
            <w:r w:rsidRPr="0045786F">
              <w:rPr>
                <w:sz w:val="24"/>
              </w:rPr>
              <w:t>Single person</w:t>
            </w:r>
          </w:p>
        </w:tc>
        <w:tc>
          <w:tcPr>
            <w:tcW w:w="2976" w:type="dxa"/>
          </w:tcPr>
          <w:p w14:paraId="03E94245" w14:textId="77777777" w:rsidR="0045786F" w:rsidRPr="0045786F" w:rsidRDefault="0045786F" w:rsidP="009A1FEC">
            <w:pPr>
              <w:pStyle w:val="TableParagraph"/>
              <w:spacing w:before="34"/>
              <w:rPr>
                <w:sz w:val="24"/>
              </w:rPr>
            </w:pPr>
            <w:r w:rsidRPr="0045786F">
              <w:rPr>
                <w:sz w:val="24"/>
              </w:rPr>
              <w:t>1 bedroom</w:t>
            </w:r>
          </w:p>
        </w:tc>
      </w:tr>
      <w:tr w:rsidR="0045786F" w14:paraId="63381A26" w14:textId="77777777" w:rsidTr="009A1FEC">
        <w:trPr>
          <w:trHeight w:val="340"/>
        </w:trPr>
        <w:tc>
          <w:tcPr>
            <w:tcW w:w="5353" w:type="dxa"/>
          </w:tcPr>
          <w:p w14:paraId="659E65DD" w14:textId="77777777" w:rsidR="0045786F" w:rsidRPr="0045786F" w:rsidRDefault="0045786F" w:rsidP="009A1FEC">
            <w:pPr>
              <w:pStyle w:val="TableParagraph"/>
              <w:spacing w:before="34"/>
              <w:rPr>
                <w:sz w:val="24"/>
              </w:rPr>
            </w:pPr>
            <w:r w:rsidRPr="0045786F">
              <w:rPr>
                <w:sz w:val="24"/>
              </w:rPr>
              <w:t>Couple</w:t>
            </w:r>
          </w:p>
        </w:tc>
        <w:tc>
          <w:tcPr>
            <w:tcW w:w="2976" w:type="dxa"/>
          </w:tcPr>
          <w:p w14:paraId="08B6ADD9" w14:textId="77777777" w:rsidR="0045786F" w:rsidRPr="0045786F" w:rsidRDefault="0045786F" w:rsidP="009A1FEC">
            <w:pPr>
              <w:pStyle w:val="TableParagraph"/>
              <w:spacing w:before="34"/>
              <w:rPr>
                <w:sz w:val="24"/>
              </w:rPr>
            </w:pPr>
            <w:r w:rsidRPr="0045786F">
              <w:rPr>
                <w:sz w:val="24"/>
              </w:rPr>
              <w:t>1 bedroom</w:t>
            </w:r>
          </w:p>
        </w:tc>
      </w:tr>
      <w:tr w:rsidR="0045786F" w14:paraId="11154226" w14:textId="77777777" w:rsidTr="009A1FEC">
        <w:trPr>
          <w:trHeight w:val="340"/>
        </w:trPr>
        <w:tc>
          <w:tcPr>
            <w:tcW w:w="5353" w:type="dxa"/>
          </w:tcPr>
          <w:p w14:paraId="7A50061B" w14:textId="77777777" w:rsidR="0045786F" w:rsidRDefault="0045786F" w:rsidP="009A1FEC">
            <w:pPr>
              <w:pStyle w:val="TableParagraph"/>
              <w:spacing w:before="34"/>
              <w:rPr>
                <w:sz w:val="24"/>
              </w:rPr>
            </w:pPr>
            <w:r>
              <w:rPr>
                <w:sz w:val="24"/>
              </w:rPr>
              <w:t>Single parent or couple + 1 child</w:t>
            </w:r>
          </w:p>
        </w:tc>
        <w:tc>
          <w:tcPr>
            <w:tcW w:w="2976" w:type="dxa"/>
          </w:tcPr>
          <w:p w14:paraId="6B0745FF" w14:textId="5ADB3BBC" w:rsidR="0045786F" w:rsidRDefault="0045786F" w:rsidP="009A1FEC">
            <w:pPr>
              <w:pStyle w:val="TableParagraph"/>
              <w:spacing w:before="34"/>
              <w:rPr>
                <w:sz w:val="24"/>
              </w:rPr>
            </w:pPr>
            <w:r>
              <w:rPr>
                <w:sz w:val="24"/>
              </w:rPr>
              <w:t xml:space="preserve">2 </w:t>
            </w:r>
            <w:r w:rsidR="00946711">
              <w:rPr>
                <w:sz w:val="24"/>
              </w:rPr>
              <w:t>bedrooms</w:t>
            </w:r>
          </w:p>
        </w:tc>
      </w:tr>
      <w:tr w:rsidR="0045786F" w14:paraId="098B356F" w14:textId="77777777" w:rsidTr="009A1FEC">
        <w:trPr>
          <w:trHeight w:val="340"/>
        </w:trPr>
        <w:tc>
          <w:tcPr>
            <w:tcW w:w="5353" w:type="dxa"/>
          </w:tcPr>
          <w:p w14:paraId="77975EAE" w14:textId="77777777" w:rsidR="0045786F" w:rsidRDefault="0045786F" w:rsidP="009A1FEC">
            <w:pPr>
              <w:pStyle w:val="TableParagraph"/>
              <w:spacing w:before="31"/>
              <w:rPr>
                <w:sz w:val="24"/>
              </w:rPr>
            </w:pPr>
            <w:r>
              <w:rPr>
                <w:sz w:val="24"/>
              </w:rPr>
              <w:t>Single parent or couple + 2 children</w:t>
            </w:r>
          </w:p>
        </w:tc>
        <w:tc>
          <w:tcPr>
            <w:tcW w:w="2976" w:type="dxa"/>
          </w:tcPr>
          <w:p w14:paraId="05181FDE" w14:textId="5F22771E" w:rsidR="0045786F" w:rsidRDefault="0045786F" w:rsidP="009A1FEC">
            <w:pPr>
              <w:pStyle w:val="TableParagraph"/>
              <w:spacing w:before="31"/>
              <w:rPr>
                <w:sz w:val="24"/>
              </w:rPr>
            </w:pPr>
            <w:r>
              <w:rPr>
                <w:sz w:val="24"/>
              </w:rPr>
              <w:t xml:space="preserve">2 or 3 </w:t>
            </w:r>
            <w:r w:rsidR="00946711">
              <w:rPr>
                <w:sz w:val="24"/>
              </w:rPr>
              <w:t>bedrooms</w:t>
            </w:r>
            <w:r>
              <w:rPr>
                <w:sz w:val="24"/>
              </w:rPr>
              <w:t>*</w:t>
            </w:r>
          </w:p>
        </w:tc>
      </w:tr>
      <w:tr w:rsidR="0045786F" w14:paraId="0CCE93D1" w14:textId="77777777" w:rsidTr="009A1FEC">
        <w:trPr>
          <w:trHeight w:val="340"/>
        </w:trPr>
        <w:tc>
          <w:tcPr>
            <w:tcW w:w="5353" w:type="dxa"/>
          </w:tcPr>
          <w:p w14:paraId="3C8D9620" w14:textId="77777777" w:rsidR="0045786F" w:rsidRDefault="0045786F" w:rsidP="009A1FEC">
            <w:pPr>
              <w:pStyle w:val="TableParagraph"/>
              <w:spacing w:before="31"/>
              <w:rPr>
                <w:sz w:val="24"/>
              </w:rPr>
            </w:pPr>
            <w:r>
              <w:rPr>
                <w:sz w:val="24"/>
              </w:rPr>
              <w:t>Single parent or couple + 3 children</w:t>
            </w:r>
          </w:p>
        </w:tc>
        <w:tc>
          <w:tcPr>
            <w:tcW w:w="2976" w:type="dxa"/>
          </w:tcPr>
          <w:p w14:paraId="1EC52950" w14:textId="5D2F460F" w:rsidR="0045786F" w:rsidRDefault="0045786F" w:rsidP="009A1FEC">
            <w:pPr>
              <w:pStyle w:val="TableParagraph"/>
              <w:spacing w:before="31"/>
              <w:rPr>
                <w:sz w:val="24"/>
              </w:rPr>
            </w:pPr>
            <w:r>
              <w:rPr>
                <w:sz w:val="24"/>
              </w:rPr>
              <w:t xml:space="preserve">3 or 4 </w:t>
            </w:r>
            <w:r w:rsidR="00946711">
              <w:rPr>
                <w:sz w:val="24"/>
              </w:rPr>
              <w:t>bedrooms</w:t>
            </w:r>
            <w:r>
              <w:rPr>
                <w:sz w:val="24"/>
              </w:rPr>
              <w:t>*</w:t>
            </w:r>
          </w:p>
        </w:tc>
      </w:tr>
      <w:tr w:rsidR="0045786F" w14:paraId="67ECC2C8" w14:textId="77777777" w:rsidTr="009A1FEC">
        <w:trPr>
          <w:trHeight w:val="338"/>
        </w:trPr>
        <w:tc>
          <w:tcPr>
            <w:tcW w:w="5353" w:type="dxa"/>
          </w:tcPr>
          <w:p w14:paraId="6C0983C7" w14:textId="77777777" w:rsidR="0045786F" w:rsidRDefault="0045786F" w:rsidP="009A1FEC">
            <w:pPr>
              <w:pStyle w:val="TableParagraph"/>
              <w:spacing w:before="31"/>
              <w:rPr>
                <w:sz w:val="24"/>
              </w:rPr>
            </w:pPr>
            <w:r>
              <w:rPr>
                <w:sz w:val="24"/>
              </w:rPr>
              <w:t>Single parent or couple + 4 children</w:t>
            </w:r>
          </w:p>
        </w:tc>
        <w:tc>
          <w:tcPr>
            <w:tcW w:w="2976" w:type="dxa"/>
          </w:tcPr>
          <w:p w14:paraId="441154BD" w14:textId="140018E5" w:rsidR="0045786F" w:rsidRDefault="0045786F" w:rsidP="009A1FEC">
            <w:pPr>
              <w:pStyle w:val="TableParagraph"/>
              <w:spacing w:before="31"/>
              <w:rPr>
                <w:sz w:val="24"/>
              </w:rPr>
            </w:pPr>
            <w:r>
              <w:rPr>
                <w:sz w:val="24"/>
              </w:rPr>
              <w:t xml:space="preserve">3 ,4 or 5 </w:t>
            </w:r>
            <w:r w:rsidR="00946711">
              <w:rPr>
                <w:sz w:val="24"/>
              </w:rPr>
              <w:t>bedrooms</w:t>
            </w:r>
            <w:r>
              <w:rPr>
                <w:sz w:val="24"/>
              </w:rPr>
              <w:t>*</w:t>
            </w:r>
          </w:p>
        </w:tc>
      </w:tr>
      <w:tr w:rsidR="0045786F" w14:paraId="65ED1F93" w14:textId="77777777" w:rsidTr="009A1FEC">
        <w:trPr>
          <w:trHeight w:val="340"/>
        </w:trPr>
        <w:tc>
          <w:tcPr>
            <w:tcW w:w="5353" w:type="dxa"/>
          </w:tcPr>
          <w:p w14:paraId="00F9509F" w14:textId="77777777" w:rsidR="0045786F" w:rsidRDefault="0045786F" w:rsidP="009A1FEC">
            <w:pPr>
              <w:pStyle w:val="TableParagraph"/>
              <w:spacing w:before="34"/>
              <w:rPr>
                <w:sz w:val="24"/>
              </w:rPr>
            </w:pPr>
            <w:r>
              <w:rPr>
                <w:sz w:val="24"/>
              </w:rPr>
              <w:t>Single parent or couple + 5 or more children</w:t>
            </w:r>
          </w:p>
        </w:tc>
        <w:tc>
          <w:tcPr>
            <w:tcW w:w="2976" w:type="dxa"/>
          </w:tcPr>
          <w:p w14:paraId="77968EB1" w14:textId="7D227E63" w:rsidR="0045786F" w:rsidRDefault="0045786F" w:rsidP="009A1FEC">
            <w:pPr>
              <w:pStyle w:val="TableParagraph"/>
              <w:spacing w:before="34"/>
              <w:rPr>
                <w:sz w:val="24"/>
              </w:rPr>
            </w:pPr>
            <w:r>
              <w:rPr>
                <w:sz w:val="24"/>
              </w:rPr>
              <w:t xml:space="preserve">4, 5 or 6 </w:t>
            </w:r>
            <w:r w:rsidR="00946711">
              <w:rPr>
                <w:sz w:val="24"/>
              </w:rPr>
              <w:t>bedrooms</w:t>
            </w:r>
            <w:r>
              <w:rPr>
                <w:sz w:val="24"/>
              </w:rPr>
              <w:t>*</w:t>
            </w:r>
          </w:p>
        </w:tc>
      </w:tr>
    </w:tbl>
    <w:p w14:paraId="54E138C5" w14:textId="77777777" w:rsidR="0045786F" w:rsidRDefault="0045786F" w:rsidP="0045786F">
      <w:pPr>
        <w:pStyle w:val="Default"/>
        <w:ind w:left="709"/>
      </w:pPr>
      <w:r>
        <w:t>* Depending on ages and sexes of children</w:t>
      </w:r>
    </w:p>
    <w:p w14:paraId="0256286E" w14:textId="77777777" w:rsidR="0045786F" w:rsidRDefault="0045786F" w:rsidP="0045786F"/>
    <w:p w14:paraId="31FB591D" w14:textId="0F9A9348" w:rsidR="0045786F" w:rsidRDefault="005C6160" w:rsidP="0045786F">
      <w:pPr>
        <w:pStyle w:val="Default"/>
        <w:numPr>
          <w:ilvl w:val="2"/>
          <w:numId w:val="1"/>
        </w:numPr>
        <w:ind w:left="709" w:hanging="709"/>
      </w:pPr>
      <w:r>
        <w:lastRenderedPageBreak/>
        <w:t>Sharing bedrooms</w:t>
      </w:r>
      <w:r w:rsidR="0045786F">
        <w:t xml:space="preserve"> - t</w:t>
      </w:r>
      <w:r>
        <w:t>he minimum number of bedrooms that are required by a household with children will be based on the following:</w:t>
      </w:r>
    </w:p>
    <w:p w14:paraId="12968907" w14:textId="77777777" w:rsidR="0045786F" w:rsidRDefault="0045786F" w:rsidP="0045786F">
      <w:pPr>
        <w:pStyle w:val="Default"/>
        <w:ind w:left="709"/>
      </w:pPr>
    </w:p>
    <w:p w14:paraId="434015DC" w14:textId="4A80EC24" w:rsidR="0045786F" w:rsidRDefault="0045786F" w:rsidP="0045786F">
      <w:pPr>
        <w:pStyle w:val="Default"/>
        <w:numPr>
          <w:ilvl w:val="0"/>
          <w:numId w:val="35"/>
        </w:numPr>
      </w:pPr>
      <w:r>
        <w:t xml:space="preserve">Children of the same/opposite sex under </w:t>
      </w:r>
      <w:r w:rsidR="00E42808">
        <w:t>age ten</w:t>
      </w:r>
      <w:r>
        <w:t xml:space="preserve"> will normally be allocated one bedroom to share.</w:t>
      </w:r>
    </w:p>
    <w:p w14:paraId="65BFE7C9" w14:textId="77777777" w:rsidR="0045786F" w:rsidRDefault="0045786F" w:rsidP="0045786F">
      <w:pPr>
        <w:pStyle w:val="Default"/>
        <w:numPr>
          <w:ilvl w:val="0"/>
          <w:numId w:val="35"/>
        </w:numPr>
      </w:pPr>
      <w:r>
        <w:t>Children of opposite sexes age ten or over will normally be allocated one bedroom each.</w:t>
      </w:r>
    </w:p>
    <w:p w14:paraId="4E7626FC" w14:textId="77777777" w:rsidR="0045786F" w:rsidRDefault="0045786F" w:rsidP="0045786F">
      <w:pPr>
        <w:pStyle w:val="Default"/>
        <w:numPr>
          <w:ilvl w:val="0"/>
          <w:numId w:val="35"/>
        </w:numPr>
      </w:pPr>
      <w:r>
        <w:t>Children of same sex age ten or over and under the age of 16 will normally be allocated one bedroom to share.</w:t>
      </w:r>
    </w:p>
    <w:p w14:paraId="2D204AEF" w14:textId="65187675" w:rsidR="0045786F" w:rsidRDefault="0045786F" w:rsidP="0045786F">
      <w:pPr>
        <w:pStyle w:val="Default"/>
        <w:numPr>
          <w:ilvl w:val="0"/>
          <w:numId w:val="35"/>
        </w:numPr>
      </w:pPr>
      <w:r>
        <w:t>Children of the same sex, with a minimum of eight years age gap between them will normally be allocated one bedroom each.</w:t>
      </w:r>
    </w:p>
    <w:p w14:paraId="0D81264B" w14:textId="6EFE4EC2" w:rsidR="0045786F" w:rsidRDefault="0045786F" w:rsidP="0045786F">
      <w:pPr>
        <w:pStyle w:val="Default"/>
        <w:numPr>
          <w:ilvl w:val="0"/>
          <w:numId w:val="35"/>
        </w:numPr>
      </w:pPr>
      <w:r>
        <w:t>Once a child reaches the age of 16, he or she will be classed as an adult and will be allocated a separate bedroom.</w:t>
      </w:r>
    </w:p>
    <w:p w14:paraId="4DA1F45F" w14:textId="77777777" w:rsidR="0045786F" w:rsidRDefault="0045786F" w:rsidP="0045786F">
      <w:pPr>
        <w:pStyle w:val="Default"/>
        <w:ind w:left="709"/>
      </w:pPr>
    </w:p>
    <w:p w14:paraId="60740060" w14:textId="5D3F531E" w:rsidR="0045786F" w:rsidRDefault="005C6160" w:rsidP="0045786F">
      <w:pPr>
        <w:pStyle w:val="Default"/>
        <w:numPr>
          <w:ilvl w:val="2"/>
          <w:numId w:val="1"/>
        </w:numPr>
        <w:ind w:left="709" w:hanging="709"/>
      </w:pPr>
      <w:r>
        <w:t>All the above are restricted to a maximum of two persons sharing a bedroom, with parent(s) having a separate bedroom from their children.</w:t>
      </w:r>
    </w:p>
    <w:p w14:paraId="6164837B" w14:textId="77777777" w:rsidR="0045786F" w:rsidRDefault="0045786F" w:rsidP="0045786F">
      <w:pPr>
        <w:pStyle w:val="Default"/>
        <w:ind w:left="709"/>
      </w:pPr>
    </w:p>
    <w:p w14:paraId="6A3A8C0C" w14:textId="71A15114" w:rsidR="0045786F" w:rsidRDefault="005C6160" w:rsidP="0045786F">
      <w:pPr>
        <w:pStyle w:val="Default"/>
        <w:numPr>
          <w:ilvl w:val="2"/>
          <w:numId w:val="1"/>
        </w:numPr>
        <w:ind w:left="709" w:hanging="709"/>
      </w:pPr>
      <w:r>
        <w:t>Where a member of the applicant’s household is pregnant, the unborn child will be counted in household size calculations from t</w:t>
      </w:r>
      <w:r w:rsidR="00DB7729">
        <w:t>hree</w:t>
      </w:r>
      <w:r>
        <w:t xml:space="preserve"> months before the birth of the child.</w:t>
      </w:r>
      <w:r w:rsidR="00DB7729">
        <w:t xml:space="preserve"> </w:t>
      </w:r>
      <w:r w:rsidR="00DB7729" w:rsidRPr="00DB7729">
        <w:t xml:space="preserve">For the purposes of assessment, if a child reaches either </w:t>
      </w:r>
      <w:r w:rsidR="00DB7729">
        <w:t>10</w:t>
      </w:r>
      <w:r w:rsidR="00DB7729" w:rsidRPr="00DB7729">
        <w:t xml:space="preserve"> years or 1</w:t>
      </w:r>
      <w:r w:rsidR="00DB7729">
        <w:t>6</w:t>
      </w:r>
      <w:r w:rsidR="00DB7729" w:rsidRPr="00DB7729">
        <w:t xml:space="preserve"> years within 6 months of the date of application, they are considered to have reached </w:t>
      </w:r>
      <w:r w:rsidR="00DB7729">
        <w:t>10</w:t>
      </w:r>
      <w:r w:rsidR="00DB7729" w:rsidRPr="00DB7729">
        <w:t xml:space="preserve"> years or 1</w:t>
      </w:r>
      <w:r w:rsidR="00DB7729">
        <w:t>6</w:t>
      </w:r>
      <w:r w:rsidR="00DB7729" w:rsidRPr="00DB7729">
        <w:t xml:space="preserve"> years respectively.</w:t>
      </w:r>
    </w:p>
    <w:p w14:paraId="631B8648" w14:textId="77777777" w:rsidR="0045786F" w:rsidRDefault="0045786F" w:rsidP="0045786F">
      <w:pPr>
        <w:pStyle w:val="ListParagraph"/>
      </w:pPr>
    </w:p>
    <w:p w14:paraId="45C7EB3B" w14:textId="77777777" w:rsidR="0045786F" w:rsidRDefault="005C6160" w:rsidP="0045786F">
      <w:pPr>
        <w:pStyle w:val="Default"/>
        <w:numPr>
          <w:ilvl w:val="2"/>
          <w:numId w:val="1"/>
        </w:numPr>
        <w:ind w:left="709" w:hanging="709"/>
      </w:pPr>
      <w:r>
        <w:t>Bedroom sizes will comply with the minimum standards set out in the Housing (Scotland) Act 1987.</w:t>
      </w:r>
    </w:p>
    <w:p w14:paraId="2198142C" w14:textId="77777777" w:rsidR="0045786F" w:rsidRDefault="0045786F" w:rsidP="0045786F">
      <w:pPr>
        <w:pStyle w:val="ListParagraph"/>
      </w:pPr>
    </w:p>
    <w:p w14:paraId="47E00B17" w14:textId="720FBEE2" w:rsidR="00341423" w:rsidRDefault="005C6160" w:rsidP="00341423">
      <w:pPr>
        <w:pStyle w:val="Default"/>
        <w:numPr>
          <w:ilvl w:val="2"/>
          <w:numId w:val="1"/>
        </w:numPr>
        <w:ind w:left="709" w:hanging="709"/>
      </w:pPr>
      <w:r>
        <w:t>Overcrowding priority</w:t>
      </w:r>
      <w:r w:rsidR="0045786F">
        <w:t xml:space="preserve"> - a</w:t>
      </w:r>
      <w:r>
        <w:t xml:space="preserve">ny household currently living in conditions where they do not meet the minimum standards set out above will be given overcrowding priority (see section </w:t>
      </w:r>
      <w:r w:rsidR="00E42808">
        <w:t>8.10</w:t>
      </w:r>
      <w:r>
        <w:t xml:space="preserve"> - the </w:t>
      </w:r>
      <w:r w:rsidR="005F4AB0">
        <w:t>B</w:t>
      </w:r>
      <w:r>
        <w:t xml:space="preserve">anding </w:t>
      </w:r>
      <w:r w:rsidR="005F4AB0">
        <w:t>S</w:t>
      </w:r>
      <w:r>
        <w:t xml:space="preserve">ystem). </w:t>
      </w:r>
    </w:p>
    <w:p w14:paraId="019B8F95" w14:textId="77777777" w:rsidR="00341423" w:rsidRDefault="00341423" w:rsidP="00341423">
      <w:pPr>
        <w:pStyle w:val="Default"/>
        <w:ind w:left="709"/>
      </w:pPr>
    </w:p>
    <w:p w14:paraId="14645637" w14:textId="26DA9511" w:rsidR="0045786F" w:rsidRPr="00D82478" w:rsidRDefault="005C6160" w:rsidP="0045786F">
      <w:pPr>
        <w:pStyle w:val="Default"/>
        <w:numPr>
          <w:ilvl w:val="2"/>
          <w:numId w:val="1"/>
        </w:numPr>
        <w:ind w:left="709" w:hanging="709"/>
      </w:pPr>
      <w:r w:rsidRPr="00D82478">
        <w:t xml:space="preserve">Overcrowding priority will not be awarded </w:t>
      </w:r>
      <w:r w:rsidR="00D82478" w:rsidRPr="00D82478">
        <w:t>to</w:t>
      </w:r>
      <w:r w:rsidRPr="00D82478">
        <w:t xml:space="preserve"> single people occupying bedsit or studio type accommodation.</w:t>
      </w:r>
    </w:p>
    <w:p w14:paraId="684C3D2A" w14:textId="77777777" w:rsidR="0045786F" w:rsidRDefault="0045786F" w:rsidP="0045786F">
      <w:pPr>
        <w:pStyle w:val="ListParagraph"/>
      </w:pPr>
    </w:p>
    <w:p w14:paraId="48BB302F" w14:textId="5C93FB66" w:rsidR="0045786F" w:rsidRPr="00D2478A" w:rsidRDefault="005C6160" w:rsidP="0045786F">
      <w:pPr>
        <w:pStyle w:val="Default"/>
        <w:numPr>
          <w:ilvl w:val="2"/>
          <w:numId w:val="1"/>
        </w:numPr>
        <w:ind w:left="709" w:hanging="709"/>
      </w:pPr>
      <w:r w:rsidRPr="00D2478A">
        <w:t>Additional bedrooms</w:t>
      </w:r>
      <w:r w:rsidR="0045786F" w:rsidRPr="00D2478A">
        <w:t xml:space="preserve"> - t</w:t>
      </w:r>
      <w:r w:rsidRPr="00D2478A">
        <w:t>he following households will be offered properties with one extra bedroom (in addition to the minimum requirements at sections 8.</w:t>
      </w:r>
      <w:r w:rsidR="00E42808" w:rsidRPr="00D2478A">
        <w:t>9.</w:t>
      </w:r>
      <w:r w:rsidRPr="00D2478A">
        <w:t>3 and 8.</w:t>
      </w:r>
      <w:r w:rsidR="00E42808" w:rsidRPr="00D2478A">
        <w:t>9.</w:t>
      </w:r>
      <w:r w:rsidRPr="00D2478A">
        <w:t>4):</w:t>
      </w:r>
    </w:p>
    <w:p w14:paraId="50345AE8" w14:textId="56238C3A" w:rsidR="0045786F" w:rsidRPr="00D2478A" w:rsidRDefault="0045786F" w:rsidP="0045786F">
      <w:pPr>
        <w:pStyle w:val="ListParagraph"/>
      </w:pPr>
    </w:p>
    <w:p w14:paraId="14E845D6" w14:textId="4FA74870" w:rsidR="0045786F" w:rsidRPr="00D2478A" w:rsidRDefault="0045786F" w:rsidP="0045786F">
      <w:pPr>
        <w:pStyle w:val="Default"/>
        <w:numPr>
          <w:ilvl w:val="0"/>
          <w:numId w:val="36"/>
        </w:numPr>
      </w:pPr>
      <w:r w:rsidRPr="00D2478A">
        <w:t xml:space="preserve">households with a medical need (for example for equipment) for an extra </w:t>
      </w:r>
      <w:r w:rsidR="00946711" w:rsidRPr="00D2478A">
        <w:t>bedroom.</w:t>
      </w:r>
    </w:p>
    <w:p w14:paraId="0233C138" w14:textId="08DCB15D" w:rsidR="00E42808" w:rsidRPr="00D2478A" w:rsidRDefault="0045786F" w:rsidP="00E42808">
      <w:pPr>
        <w:pStyle w:val="Default"/>
        <w:numPr>
          <w:ilvl w:val="0"/>
          <w:numId w:val="36"/>
        </w:numPr>
      </w:pPr>
      <w:r w:rsidRPr="00D2478A">
        <w:t>households with access to children (shared parental responsibility</w:t>
      </w:r>
      <w:r w:rsidR="00946711" w:rsidRPr="00D2478A">
        <w:t>).</w:t>
      </w:r>
    </w:p>
    <w:p w14:paraId="770226BE" w14:textId="3C3561BA" w:rsidR="00585C68" w:rsidRPr="00D2478A" w:rsidRDefault="0045786F" w:rsidP="00E42808">
      <w:pPr>
        <w:pStyle w:val="Default"/>
        <w:numPr>
          <w:ilvl w:val="0"/>
          <w:numId w:val="36"/>
        </w:numPr>
      </w:pPr>
      <w:r w:rsidRPr="00D2478A">
        <w:t>couples and single applicants will be eligible for both one bedroom and two bedroom properties</w:t>
      </w:r>
      <w:r w:rsidR="00947014" w:rsidRPr="00D2478A">
        <w:t xml:space="preserve"> where it promotes the best use of our stock</w:t>
      </w:r>
      <w:r w:rsidRPr="00D2478A">
        <w:t>; and</w:t>
      </w:r>
    </w:p>
    <w:p w14:paraId="3D578DC6" w14:textId="759A1B59" w:rsidR="00585C68" w:rsidRDefault="0045786F" w:rsidP="00585C68">
      <w:pPr>
        <w:pStyle w:val="Default"/>
        <w:numPr>
          <w:ilvl w:val="0"/>
          <w:numId w:val="36"/>
        </w:numPr>
      </w:pPr>
      <w:r>
        <w:t xml:space="preserve">households with a need for an extra bedroom for a permanent carer or for fostering (if a fostering application is pending West of </w:t>
      </w:r>
      <w:r w:rsidR="005F4AB0">
        <w:t>Scotland will</w:t>
      </w:r>
      <w:r>
        <w:t xml:space="preserve"> consider granting an extra bedroom before a child becomes a member of the household. This may depend on how far advanced the application is and the views of any relevant organi</w:t>
      </w:r>
      <w:r w:rsidR="005F4AB0">
        <w:t>s</w:t>
      </w:r>
      <w:r>
        <w:t xml:space="preserve">ation such as the </w:t>
      </w:r>
      <w:r>
        <w:lastRenderedPageBreak/>
        <w:t xml:space="preserve">local authority handling the application. Any decision to award an extra bedroom in this circumstance should be approved by a Housing Manager or person of </w:t>
      </w:r>
      <w:r w:rsidR="005F4AB0">
        <w:t xml:space="preserve">at least </w:t>
      </w:r>
      <w:r>
        <w:t>equivalent seniority).</w:t>
      </w:r>
    </w:p>
    <w:p w14:paraId="2CC77E37" w14:textId="706A49F4" w:rsidR="0045786F" w:rsidRDefault="0045786F" w:rsidP="00585C68">
      <w:pPr>
        <w:pStyle w:val="Default"/>
        <w:numPr>
          <w:ilvl w:val="0"/>
          <w:numId w:val="36"/>
        </w:numPr>
      </w:pPr>
      <w:r>
        <w:t>On occasion, the size of property offered to an applicant may be</w:t>
      </w:r>
      <w:r w:rsidR="00585C68">
        <w:t xml:space="preserve"> </w:t>
      </w:r>
      <w:r>
        <w:t>different from the bedroom requirement standard outlined above</w:t>
      </w:r>
      <w:r w:rsidR="003904F8">
        <w:t xml:space="preserve">. </w:t>
      </w:r>
      <w:r>
        <w:t>This will normally occur to alleviate a housing or specific health need, for example an additional room or bedroom for a person with special educational needs.</w:t>
      </w:r>
    </w:p>
    <w:p w14:paraId="01C002D1" w14:textId="77777777" w:rsidR="0045786F" w:rsidRDefault="0045786F" w:rsidP="0045786F">
      <w:pPr>
        <w:pStyle w:val="ListParagraph"/>
      </w:pPr>
    </w:p>
    <w:p w14:paraId="567B05A3" w14:textId="1758BA14" w:rsidR="0045786F" w:rsidRDefault="005C6160" w:rsidP="0045786F">
      <w:pPr>
        <w:pStyle w:val="Default"/>
        <w:numPr>
          <w:ilvl w:val="2"/>
          <w:numId w:val="1"/>
        </w:numPr>
        <w:ind w:left="709" w:hanging="709"/>
      </w:pPr>
      <w:r>
        <w:t xml:space="preserve">West of Scotland may also set out more flexibility for specific developments in </w:t>
      </w:r>
      <w:r w:rsidR="005F4AB0">
        <w:t>L</w:t>
      </w:r>
      <w:r>
        <w:t xml:space="preserve">ocal </w:t>
      </w:r>
      <w:r w:rsidR="005F4AB0">
        <w:t>L</w:t>
      </w:r>
      <w:r>
        <w:t xml:space="preserve">ettings </w:t>
      </w:r>
      <w:r w:rsidR="005F4AB0">
        <w:t>Plans/S</w:t>
      </w:r>
      <w:r>
        <w:t>trategies, which would be presented to the Board.</w:t>
      </w:r>
    </w:p>
    <w:p w14:paraId="489431AE" w14:textId="77777777" w:rsidR="0045786F" w:rsidRDefault="0045786F" w:rsidP="0045786F">
      <w:pPr>
        <w:pStyle w:val="ListParagraph"/>
      </w:pPr>
    </w:p>
    <w:p w14:paraId="02C3892B" w14:textId="66B6FB59" w:rsidR="00585C68" w:rsidRDefault="005C6160" w:rsidP="00585C68">
      <w:pPr>
        <w:pStyle w:val="Default"/>
        <w:numPr>
          <w:ilvl w:val="2"/>
          <w:numId w:val="1"/>
        </w:numPr>
        <w:ind w:left="709" w:hanging="709"/>
      </w:pPr>
      <w:r>
        <w:t>Access</w:t>
      </w:r>
      <w:r w:rsidR="0045786F">
        <w:t xml:space="preserve"> - w</w:t>
      </w:r>
      <w:r>
        <w:t>here separated parents have joint custody, the children are counted as part of each household where children are resident with one parent for three or more nights,</w:t>
      </w:r>
      <w:r w:rsidR="005F4AB0">
        <w:t xml:space="preserve"> unless specific exceptions preclude this e.g. CHRs.</w:t>
      </w:r>
      <w:r>
        <w:t xml:space="preserve"> </w:t>
      </w:r>
    </w:p>
    <w:p w14:paraId="2271F749" w14:textId="77777777" w:rsidR="00585C68" w:rsidRDefault="00585C68" w:rsidP="00585C68">
      <w:pPr>
        <w:pStyle w:val="ListParagraph"/>
      </w:pPr>
    </w:p>
    <w:p w14:paraId="5B359BEE" w14:textId="77777777" w:rsidR="00585C68" w:rsidRDefault="005C6160" w:rsidP="00585C68">
      <w:pPr>
        <w:pStyle w:val="Default"/>
        <w:numPr>
          <w:ilvl w:val="2"/>
          <w:numId w:val="1"/>
        </w:numPr>
        <w:ind w:left="709" w:hanging="709"/>
      </w:pPr>
      <w:r>
        <w:t>Separated parents with access only will be entitled to a property with only one bedroom extra, over and above the minimum bedroom requirement the household would have without the children they have access to. The same arrangements will apply to any adult who has kinship care responsibilities as defined by the Looked After Children (Scotland) Regulations 2009.</w:t>
      </w:r>
    </w:p>
    <w:p w14:paraId="32ABE968" w14:textId="77777777" w:rsidR="00585C68" w:rsidRDefault="00585C68" w:rsidP="00585C68">
      <w:pPr>
        <w:pStyle w:val="ListParagraph"/>
      </w:pPr>
    </w:p>
    <w:p w14:paraId="3F8ABF8D" w14:textId="77777777" w:rsidR="00585C68" w:rsidRDefault="005C6160" w:rsidP="00585C68">
      <w:pPr>
        <w:pStyle w:val="Default"/>
        <w:numPr>
          <w:ilvl w:val="2"/>
          <w:numId w:val="1"/>
        </w:numPr>
        <w:ind w:left="709" w:hanging="709"/>
      </w:pPr>
      <w:r>
        <w:t>Evidence is required from the applicant that they do have access, such as confirmation from the partner with full access or confirmation from a solicitor.</w:t>
      </w:r>
    </w:p>
    <w:p w14:paraId="48CCF9B8" w14:textId="77777777" w:rsidR="00233DDD" w:rsidRDefault="00233DDD" w:rsidP="00B33848">
      <w:pPr>
        <w:pStyle w:val="Default"/>
      </w:pPr>
    </w:p>
    <w:p w14:paraId="500D8B68" w14:textId="32AA0579" w:rsidR="00233DDD" w:rsidRDefault="00233DDD" w:rsidP="00233DDD">
      <w:pPr>
        <w:pStyle w:val="Default"/>
        <w:numPr>
          <w:ilvl w:val="1"/>
          <w:numId w:val="1"/>
        </w:numPr>
        <w:ind w:left="709" w:hanging="709"/>
      </w:pPr>
      <w:bookmarkStart w:id="18" w:name="TheBandingSystem"/>
      <w:r>
        <w:t>The Banding System</w:t>
      </w:r>
    </w:p>
    <w:bookmarkEnd w:id="18"/>
    <w:p w14:paraId="3FA0D3FD" w14:textId="77777777" w:rsidR="00233DDD" w:rsidRDefault="00233DDD" w:rsidP="00233DDD">
      <w:pPr>
        <w:pStyle w:val="Default"/>
        <w:ind w:left="709"/>
      </w:pPr>
    </w:p>
    <w:p w14:paraId="621DC23B" w14:textId="281D28B1" w:rsidR="00233DDD" w:rsidRDefault="005C6160" w:rsidP="00233DDD">
      <w:pPr>
        <w:pStyle w:val="Default"/>
        <w:numPr>
          <w:ilvl w:val="2"/>
          <w:numId w:val="1"/>
        </w:numPr>
        <w:ind w:left="709" w:hanging="709"/>
      </w:pPr>
      <w:r>
        <w:t>Applications made direct to West of Scotland will be placed in one of the following f</w:t>
      </w:r>
      <w:r w:rsidR="005F4AB0">
        <w:t>ive</w:t>
      </w:r>
      <w:r>
        <w:t xml:space="preserve"> bands following an assessment of the applicant’s circumstances and housing needs. Within bands, applicants will be prioritised based on their dates of application or on their dates of being placed in a new band following a change of circumstances.</w:t>
      </w:r>
    </w:p>
    <w:p w14:paraId="6ECF54CF" w14:textId="77777777" w:rsidR="00233DDD" w:rsidRDefault="00233DDD" w:rsidP="00233DDD">
      <w:pPr>
        <w:pStyle w:val="Default"/>
        <w:ind w:left="709"/>
      </w:pPr>
    </w:p>
    <w:p w14:paraId="09FF62A2" w14:textId="5ADEE606" w:rsidR="00233DDD" w:rsidRPr="00AB12C5" w:rsidRDefault="00233DDD" w:rsidP="00233DDD">
      <w:pPr>
        <w:pStyle w:val="Default"/>
        <w:numPr>
          <w:ilvl w:val="2"/>
          <w:numId w:val="1"/>
        </w:numPr>
        <w:ind w:left="709" w:hanging="709"/>
      </w:pPr>
      <w:r w:rsidRPr="00233DDD">
        <w:rPr>
          <w:b/>
          <w:bCs/>
        </w:rPr>
        <w:t>Band 1: Urgent</w:t>
      </w:r>
      <w:r w:rsidRPr="00233DDD">
        <w:rPr>
          <w:b/>
          <w:bCs/>
          <w:spacing w:val="-3"/>
        </w:rPr>
        <w:t xml:space="preserve"> </w:t>
      </w:r>
      <w:r w:rsidRPr="00233DDD">
        <w:rPr>
          <w:b/>
          <w:bCs/>
        </w:rPr>
        <w:t>Priority</w:t>
      </w:r>
      <w:bookmarkStart w:id="19" w:name="9.3.1_The_following_criteria_are_awarded"/>
      <w:bookmarkEnd w:id="19"/>
    </w:p>
    <w:p w14:paraId="7B713217" w14:textId="77777777" w:rsidR="00AB12C5" w:rsidRDefault="00AB12C5" w:rsidP="00AB12C5">
      <w:pPr>
        <w:pStyle w:val="ListParagraph"/>
      </w:pPr>
    </w:p>
    <w:p w14:paraId="6AA48D39" w14:textId="02626083" w:rsidR="00AB12C5" w:rsidRDefault="00AB12C5" w:rsidP="00AB12C5">
      <w:pPr>
        <w:pStyle w:val="Default"/>
        <w:numPr>
          <w:ilvl w:val="2"/>
          <w:numId w:val="1"/>
        </w:numPr>
        <w:ind w:left="709" w:hanging="709"/>
      </w:pPr>
      <w:r>
        <w:t>The following criteria are awarded Urgent Priority banding</w:t>
      </w:r>
      <w:bookmarkStart w:id="20" w:name="9.4_Band_2:_High_Priority"/>
      <w:bookmarkEnd w:id="20"/>
      <w:r>
        <w:t>:</w:t>
      </w:r>
    </w:p>
    <w:p w14:paraId="45CAA88F" w14:textId="27A75D5A" w:rsidR="00AB12C5" w:rsidRDefault="00AB12C5" w:rsidP="00AB12C5">
      <w:pPr>
        <w:pStyle w:val="ListParagraph"/>
        <w:rPr>
          <w:b/>
          <w:bCs/>
        </w:rPr>
      </w:pPr>
    </w:p>
    <w:tbl>
      <w:tblPr>
        <w:tblW w:w="9350" w:type="dxa"/>
        <w:tblInd w:w="1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04"/>
        <w:gridCol w:w="6946"/>
      </w:tblGrid>
      <w:tr w:rsidR="007706A0" w14:paraId="1C729DA5" w14:textId="77777777" w:rsidTr="009E3A48">
        <w:trPr>
          <w:trHeight w:val="2142"/>
        </w:trPr>
        <w:tc>
          <w:tcPr>
            <w:tcW w:w="2404" w:type="dxa"/>
          </w:tcPr>
          <w:p w14:paraId="7070C8FC" w14:textId="77777777" w:rsidR="007706A0" w:rsidRPr="00BC64F9" w:rsidRDefault="007706A0" w:rsidP="009A1FEC">
            <w:pPr>
              <w:pStyle w:val="TableParagraph"/>
              <w:rPr>
                <w:b/>
                <w:sz w:val="24"/>
              </w:rPr>
            </w:pPr>
            <w:r w:rsidRPr="00BC64F9">
              <w:rPr>
                <w:b/>
                <w:sz w:val="24"/>
              </w:rPr>
              <w:t>Domestic abuse</w:t>
            </w:r>
          </w:p>
          <w:p w14:paraId="31DB550C" w14:textId="77777777" w:rsidR="007706A0" w:rsidRPr="00BC64F9" w:rsidRDefault="007706A0" w:rsidP="009A1FEC">
            <w:pPr>
              <w:pStyle w:val="TableParagraph"/>
              <w:rPr>
                <w:b/>
                <w:sz w:val="24"/>
              </w:rPr>
            </w:pPr>
          </w:p>
          <w:p w14:paraId="465A7D9C" w14:textId="57812535" w:rsidR="007706A0" w:rsidRPr="00BC64F9" w:rsidRDefault="007706A0" w:rsidP="009A1FEC">
            <w:pPr>
              <w:pStyle w:val="TableParagraph"/>
              <w:rPr>
                <w:b/>
                <w:sz w:val="24"/>
              </w:rPr>
            </w:pPr>
          </w:p>
        </w:tc>
        <w:tc>
          <w:tcPr>
            <w:tcW w:w="6946" w:type="dxa"/>
          </w:tcPr>
          <w:p w14:paraId="189191C1" w14:textId="77777777" w:rsidR="007706A0" w:rsidRPr="00BC64F9" w:rsidRDefault="007706A0" w:rsidP="009A1FEC">
            <w:pPr>
              <w:pStyle w:val="TableParagraph"/>
              <w:ind w:right="582"/>
              <w:jc w:val="both"/>
              <w:rPr>
                <w:sz w:val="24"/>
              </w:rPr>
            </w:pPr>
            <w:r w:rsidRPr="00BC64F9">
              <w:rPr>
                <w:sz w:val="24"/>
              </w:rPr>
              <w:t>Where the applicant needs accommodation due to domestic abuse.</w:t>
            </w:r>
          </w:p>
          <w:p w14:paraId="239168EA" w14:textId="77777777" w:rsidR="007706A0" w:rsidRPr="00BC64F9" w:rsidRDefault="007706A0" w:rsidP="009A1FEC">
            <w:pPr>
              <w:pStyle w:val="TableParagraph"/>
              <w:spacing w:before="120"/>
              <w:ind w:right="31"/>
              <w:jc w:val="both"/>
              <w:rPr>
                <w:i/>
                <w:sz w:val="24"/>
              </w:rPr>
            </w:pPr>
            <w:r w:rsidRPr="00BC64F9">
              <w:rPr>
                <w:i/>
                <w:sz w:val="24"/>
              </w:rPr>
              <w:t>Confirmation may be requested with the applicants’ consent from relevant agencies such as the Police, Health Professional, Social Work, Women’s Aid, etc. However, verification of domestic</w:t>
            </w:r>
            <w:r w:rsidRPr="00BC64F9">
              <w:rPr>
                <w:i/>
                <w:spacing w:val="-34"/>
                <w:sz w:val="24"/>
              </w:rPr>
              <w:t xml:space="preserve"> </w:t>
            </w:r>
            <w:r w:rsidRPr="00BC64F9">
              <w:rPr>
                <w:i/>
                <w:sz w:val="24"/>
              </w:rPr>
              <w:t>abuse from other agencies is not a condition required for an applicant to be given</w:t>
            </w:r>
            <w:r w:rsidRPr="00BC64F9">
              <w:rPr>
                <w:i/>
                <w:spacing w:val="1"/>
                <w:sz w:val="24"/>
              </w:rPr>
              <w:t xml:space="preserve"> </w:t>
            </w:r>
            <w:r w:rsidRPr="00BC64F9">
              <w:rPr>
                <w:i/>
                <w:sz w:val="24"/>
              </w:rPr>
              <w:t>priority.</w:t>
            </w:r>
          </w:p>
        </w:tc>
      </w:tr>
      <w:tr w:rsidR="007706A0" w14:paraId="6C3F103F" w14:textId="77777777" w:rsidTr="009E3A48">
        <w:trPr>
          <w:trHeight w:val="5829"/>
        </w:trPr>
        <w:tc>
          <w:tcPr>
            <w:tcW w:w="2404" w:type="dxa"/>
          </w:tcPr>
          <w:p w14:paraId="7416851A" w14:textId="09FD590A" w:rsidR="007706A0" w:rsidRPr="00551D60" w:rsidRDefault="007706A0" w:rsidP="009A1FEC">
            <w:pPr>
              <w:pStyle w:val="TableParagraph"/>
              <w:ind w:right="690"/>
              <w:rPr>
                <w:b/>
                <w:sz w:val="24"/>
              </w:rPr>
            </w:pPr>
            <w:r w:rsidRPr="00551D60">
              <w:rPr>
                <w:b/>
                <w:sz w:val="24"/>
              </w:rPr>
              <w:lastRenderedPageBreak/>
              <w:t>Harassment</w:t>
            </w:r>
          </w:p>
          <w:p w14:paraId="1EFD1F33" w14:textId="77777777" w:rsidR="007706A0" w:rsidRPr="00407019" w:rsidRDefault="007706A0" w:rsidP="009A1FEC">
            <w:pPr>
              <w:pStyle w:val="TableParagraph"/>
              <w:ind w:right="690"/>
              <w:rPr>
                <w:b/>
                <w:sz w:val="24"/>
                <w:highlight w:val="yellow"/>
              </w:rPr>
            </w:pPr>
          </w:p>
          <w:p w14:paraId="363E3426" w14:textId="1AE97A16" w:rsidR="007706A0" w:rsidRPr="00407019" w:rsidRDefault="007706A0" w:rsidP="009A1FEC">
            <w:pPr>
              <w:pStyle w:val="TableParagraph"/>
              <w:ind w:right="690"/>
              <w:rPr>
                <w:b/>
                <w:sz w:val="24"/>
                <w:highlight w:val="yellow"/>
              </w:rPr>
            </w:pPr>
          </w:p>
        </w:tc>
        <w:tc>
          <w:tcPr>
            <w:tcW w:w="6946" w:type="dxa"/>
          </w:tcPr>
          <w:p w14:paraId="0B6358CB" w14:textId="77777777" w:rsidR="007706A0" w:rsidRPr="00BC64F9" w:rsidRDefault="007706A0" w:rsidP="009A1FEC">
            <w:pPr>
              <w:pStyle w:val="TableParagraph"/>
              <w:ind w:right="114"/>
              <w:rPr>
                <w:sz w:val="24"/>
              </w:rPr>
            </w:pPr>
            <w:r w:rsidRPr="00BC64F9">
              <w:rPr>
                <w:sz w:val="24"/>
              </w:rPr>
              <w:t>Where the applicant is suffering serious harassment at their current accommodation and being rehoused will help to alleviate this.</w:t>
            </w:r>
          </w:p>
          <w:p w14:paraId="7D52260E" w14:textId="77777777" w:rsidR="007706A0" w:rsidRPr="00BC64F9" w:rsidRDefault="007706A0" w:rsidP="009A1FEC">
            <w:pPr>
              <w:pStyle w:val="TableParagraph"/>
              <w:spacing w:before="120"/>
              <w:ind w:right="167"/>
              <w:rPr>
                <w:sz w:val="24"/>
              </w:rPr>
            </w:pPr>
            <w:r w:rsidRPr="00BC64F9">
              <w:rPr>
                <w:sz w:val="24"/>
              </w:rPr>
              <w:t xml:space="preserve">Harassment can take many forms including intimidating, threatening or aggressive </w:t>
            </w:r>
            <w:proofErr w:type="spellStart"/>
            <w:r w:rsidRPr="00BC64F9">
              <w:rPr>
                <w:sz w:val="24"/>
              </w:rPr>
              <w:t>behaviour</w:t>
            </w:r>
            <w:proofErr w:type="spellEnd"/>
            <w:r w:rsidRPr="00BC64F9">
              <w:rPr>
                <w:sz w:val="24"/>
              </w:rPr>
              <w:t xml:space="preserve">, both verbal and physical, and can involve attacks on property as well as people. Incidents of harassment can include sexual comments or gestures, offensive or racist graffiti, abusive language and </w:t>
            </w:r>
            <w:proofErr w:type="spellStart"/>
            <w:r w:rsidRPr="00BC64F9">
              <w:rPr>
                <w:sz w:val="24"/>
              </w:rPr>
              <w:t>behaviour</w:t>
            </w:r>
            <w:proofErr w:type="spellEnd"/>
            <w:r w:rsidRPr="00BC64F9">
              <w:rPr>
                <w:sz w:val="24"/>
              </w:rPr>
              <w:t>, violence towards people of all ages, damage to homes or possessions and threatening letters or phone calls. Harassment is often premeditated and reoccurring.</w:t>
            </w:r>
          </w:p>
          <w:p w14:paraId="538ADDC5" w14:textId="77777777" w:rsidR="007706A0" w:rsidRPr="00BC64F9" w:rsidRDefault="007706A0" w:rsidP="009A1FEC">
            <w:pPr>
              <w:pStyle w:val="TableParagraph"/>
              <w:spacing w:before="120"/>
              <w:ind w:right="14"/>
              <w:rPr>
                <w:i/>
                <w:sz w:val="24"/>
              </w:rPr>
            </w:pPr>
            <w:r w:rsidRPr="00BC64F9">
              <w:rPr>
                <w:i/>
                <w:sz w:val="24"/>
              </w:rPr>
              <w:t xml:space="preserve">Confirmation may be requested with the applicants’ consent, either from agencies such as the Police, Social Services and Health </w:t>
            </w:r>
            <w:proofErr w:type="spellStart"/>
            <w:r w:rsidRPr="00BC64F9">
              <w:rPr>
                <w:i/>
                <w:sz w:val="24"/>
              </w:rPr>
              <w:t>Organisations</w:t>
            </w:r>
            <w:proofErr w:type="spellEnd"/>
            <w:r w:rsidRPr="00BC64F9">
              <w:rPr>
                <w:i/>
                <w:sz w:val="24"/>
              </w:rPr>
              <w:t xml:space="preserve"> or from other witnesses which can include staff. Where appropriate, confirmation can also be provided by the customer’s advocates, i.e. local </w:t>
            </w:r>
            <w:proofErr w:type="spellStart"/>
            <w:r w:rsidRPr="00BC64F9">
              <w:rPr>
                <w:i/>
                <w:sz w:val="24"/>
              </w:rPr>
              <w:t>councillors</w:t>
            </w:r>
            <w:proofErr w:type="spellEnd"/>
            <w:r w:rsidRPr="00BC64F9">
              <w:rPr>
                <w:i/>
                <w:sz w:val="24"/>
              </w:rPr>
              <w:t xml:space="preserve">, Members of Parliament, Members of the Scottish Parliament, advice workers and from voluntary </w:t>
            </w:r>
            <w:proofErr w:type="spellStart"/>
            <w:r w:rsidRPr="00BC64F9">
              <w:rPr>
                <w:i/>
                <w:sz w:val="24"/>
              </w:rPr>
              <w:t>organisations</w:t>
            </w:r>
            <w:proofErr w:type="spellEnd"/>
            <w:r w:rsidRPr="00BC64F9">
              <w:rPr>
                <w:i/>
                <w:sz w:val="24"/>
              </w:rPr>
              <w:t>. However, verification of harassment from other agencies is not a condition required for an applicant to be given the appropriate priority.</w:t>
            </w:r>
          </w:p>
          <w:p w14:paraId="73B7C64B" w14:textId="77777777" w:rsidR="007706A0" w:rsidRPr="00382EA2" w:rsidRDefault="007706A0" w:rsidP="009A1FEC">
            <w:pPr>
              <w:tabs>
                <w:tab w:val="left" w:pos="1140"/>
              </w:tabs>
              <w:rPr>
                <w:highlight w:val="yellow"/>
              </w:rPr>
            </w:pPr>
            <w:r w:rsidRPr="00BC64F9">
              <w:tab/>
            </w:r>
          </w:p>
        </w:tc>
      </w:tr>
      <w:tr w:rsidR="007706A0" w14:paraId="0C58902E" w14:textId="77777777" w:rsidTr="009E3A48">
        <w:trPr>
          <w:trHeight w:val="70"/>
        </w:trPr>
        <w:tc>
          <w:tcPr>
            <w:tcW w:w="2404" w:type="dxa"/>
          </w:tcPr>
          <w:p w14:paraId="4A5F3B65" w14:textId="77777777" w:rsidR="007706A0" w:rsidRPr="009E3A48" w:rsidRDefault="007706A0" w:rsidP="009A1FEC">
            <w:pPr>
              <w:pStyle w:val="TableParagraph"/>
              <w:ind w:right="610"/>
              <w:rPr>
                <w:b/>
                <w:sz w:val="24"/>
              </w:rPr>
            </w:pPr>
            <w:r w:rsidRPr="009E3A48">
              <w:rPr>
                <w:b/>
                <w:sz w:val="24"/>
              </w:rPr>
              <w:t>Severe under occupation</w:t>
            </w:r>
          </w:p>
          <w:p w14:paraId="42766AEE" w14:textId="77777777" w:rsidR="007706A0" w:rsidRPr="009E3A48" w:rsidRDefault="007706A0" w:rsidP="009A1FEC">
            <w:pPr>
              <w:pStyle w:val="TableParagraph"/>
              <w:ind w:right="610"/>
              <w:rPr>
                <w:b/>
                <w:sz w:val="24"/>
              </w:rPr>
            </w:pPr>
          </w:p>
          <w:p w14:paraId="62771387" w14:textId="77777777" w:rsidR="007706A0" w:rsidRPr="009E3A48" w:rsidRDefault="007706A0" w:rsidP="009A1FEC">
            <w:pPr>
              <w:pStyle w:val="TableParagraph"/>
              <w:ind w:right="610"/>
              <w:rPr>
                <w:b/>
                <w:sz w:val="24"/>
              </w:rPr>
            </w:pPr>
          </w:p>
          <w:p w14:paraId="0D3513A3" w14:textId="77777777" w:rsidR="007706A0" w:rsidRPr="009E3A48" w:rsidRDefault="007706A0" w:rsidP="009A1FEC">
            <w:pPr>
              <w:pStyle w:val="TableParagraph"/>
              <w:ind w:right="610"/>
              <w:rPr>
                <w:b/>
                <w:sz w:val="24"/>
              </w:rPr>
            </w:pPr>
          </w:p>
          <w:p w14:paraId="483F15C7" w14:textId="77777777" w:rsidR="007706A0" w:rsidRPr="009E3A48" w:rsidRDefault="007706A0" w:rsidP="009A1FEC">
            <w:pPr>
              <w:pStyle w:val="TableParagraph"/>
              <w:ind w:right="690"/>
              <w:rPr>
                <w:b/>
                <w:sz w:val="24"/>
              </w:rPr>
            </w:pPr>
          </w:p>
        </w:tc>
        <w:tc>
          <w:tcPr>
            <w:tcW w:w="6946" w:type="dxa"/>
          </w:tcPr>
          <w:p w14:paraId="37334AA9" w14:textId="1EB6436A" w:rsidR="007706A0" w:rsidRPr="009E3A48" w:rsidRDefault="009E3A48" w:rsidP="009A1FEC">
            <w:pPr>
              <w:pStyle w:val="TableParagraph"/>
              <w:ind w:right="207"/>
              <w:rPr>
                <w:sz w:val="24"/>
              </w:rPr>
            </w:pPr>
            <w:r w:rsidRPr="009E3A48">
              <w:rPr>
                <w:sz w:val="24"/>
              </w:rPr>
              <w:t>E</w:t>
            </w:r>
            <w:r w:rsidR="007706A0" w:rsidRPr="009E3A48">
              <w:rPr>
                <w:sz w:val="24"/>
              </w:rPr>
              <w:t>xisting social housing tenants who are living in houses with two or more bedrooms over and above the minimum requirement for their present needs.</w:t>
            </w:r>
          </w:p>
          <w:p w14:paraId="45C4074B" w14:textId="77777777" w:rsidR="007706A0" w:rsidRPr="009E3A48" w:rsidRDefault="007706A0" w:rsidP="009A1FEC">
            <w:pPr>
              <w:pStyle w:val="TableParagraph"/>
              <w:ind w:right="114"/>
              <w:rPr>
                <w:sz w:val="24"/>
              </w:rPr>
            </w:pPr>
            <w:r w:rsidRPr="009E3A48">
              <w:rPr>
                <w:i/>
                <w:sz w:val="24"/>
              </w:rPr>
              <w:t>The household or circumstances (including financial circumstances such as a change in housing benefit regulations, or a household member losing employment) of the applicant</w:t>
            </w:r>
            <w:r w:rsidRPr="009E3A48">
              <w:rPr>
                <w:i/>
                <w:spacing w:val="-42"/>
                <w:sz w:val="24"/>
              </w:rPr>
              <w:t xml:space="preserve"> </w:t>
            </w:r>
            <w:r w:rsidRPr="009E3A48">
              <w:rPr>
                <w:i/>
                <w:sz w:val="24"/>
              </w:rPr>
              <w:t>must have changed since they accepted the tenancy of their current accommodation before they can be eligible for under occupation priority.</w:t>
            </w:r>
          </w:p>
        </w:tc>
      </w:tr>
      <w:tr w:rsidR="007706A0" w14:paraId="5E6CB591" w14:textId="77777777" w:rsidTr="009E3A48">
        <w:trPr>
          <w:trHeight w:val="70"/>
        </w:trPr>
        <w:tc>
          <w:tcPr>
            <w:tcW w:w="2404" w:type="dxa"/>
          </w:tcPr>
          <w:p w14:paraId="3C9FF693" w14:textId="77777777" w:rsidR="007706A0" w:rsidRPr="00407019" w:rsidRDefault="007706A0" w:rsidP="009A1FEC">
            <w:pPr>
              <w:pStyle w:val="TableParagraph"/>
              <w:ind w:right="690"/>
              <w:rPr>
                <w:b/>
                <w:sz w:val="24"/>
                <w:highlight w:val="yellow"/>
              </w:rPr>
            </w:pPr>
            <w:r w:rsidRPr="009F1617">
              <w:rPr>
                <w:b/>
                <w:sz w:val="24"/>
              </w:rPr>
              <w:t>Severe overcrowding</w:t>
            </w:r>
          </w:p>
        </w:tc>
        <w:tc>
          <w:tcPr>
            <w:tcW w:w="6946" w:type="dxa"/>
          </w:tcPr>
          <w:p w14:paraId="5729712C" w14:textId="5EFFC36D" w:rsidR="00551D60" w:rsidRDefault="00551D60" w:rsidP="00551D60">
            <w:pPr>
              <w:pStyle w:val="TableParagraph"/>
              <w:spacing w:before="2"/>
              <w:ind w:left="110" w:right="474"/>
              <w:rPr>
                <w:sz w:val="24"/>
              </w:rPr>
            </w:pPr>
            <w:r w:rsidRPr="00197AB5">
              <w:rPr>
                <w:sz w:val="24"/>
              </w:rPr>
              <w:t>Where the applicant’s current accommodation is overcrowded when assessed against criteria set out at section 8.9 - House types and sizes to be allocated</w:t>
            </w:r>
            <w:r>
              <w:rPr>
                <w:sz w:val="24"/>
              </w:rPr>
              <w:t xml:space="preserve"> - by </w:t>
            </w:r>
            <w:r w:rsidR="00150CC7">
              <w:rPr>
                <w:sz w:val="24"/>
              </w:rPr>
              <w:t>three</w:t>
            </w:r>
            <w:r>
              <w:rPr>
                <w:sz w:val="24"/>
              </w:rPr>
              <w:t xml:space="preserve"> or more bedrooms</w:t>
            </w:r>
            <w:r w:rsidRPr="00197AB5">
              <w:rPr>
                <w:sz w:val="24"/>
              </w:rPr>
              <w:t>.</w:t>
            </w:r>
          </w:p>
          <w:p w14:paraId="5FC33247" w14:textId="77777777" w:rsidR="007706A0" w:rsidRPr="00407019" w:rsidRDefault="007706A0" w:rsidP="009A1FEC">
            <w:pPr>
              <w:pStyle w:val="TableParagraph"/>
              <w:ind w:right="114"/>
              <w:rPr>
                <w:sz w:val="24"/>
                <w:highlight w:val="yellow"/>
              </w:rPr>
            </w:pPr>
          </w:p>
        </w:tc>
      </w:tr>
      <w:tr w:rsidR="007706A0" w14:paraId="59DCEF47" w14:textId="77777777" w:rsidTr="009E3A48">
        <w:trPr>
          <w:trHeight w:val="70"/>
        </w:trPr>
        <w:tc>
          <w:tcPr>
            <w:tcW w:w="2404" w:type="dxa"/>
          </w:tcPr>
          <w:p w14:paraId="0B7E6B79" w14:textId="77777777" w:rsidR="007706A0" w:rsidRPr="009E3A48" w:rsidRDefault="007706A0" w:rsidP="009A1FEC">
            <w:pPr>
              <w:pStyle w:val="TableParagraph"/>
              <w:ind w:right="517"/>
              <w:rPr>
                <w:b/>
                <w:sz w:val="24"/>
              </w:rPr>
            </w:pPr>
            <w:r w:rsidRPr="009E3A48">
              <w:rPr>
                <w:b/>
                <w:sz w:val="24"/>
              </w:rPr>
              <w:t>Urgent health/ disability</w:t>
            </w:r>
          </w:p>
          <w:p w14:paraId="0BEDB4BC" w14:textId="77777777" w:rsidR="007706A0" w:rsidRPr="009E3A48" w:rsidRDefault="007706A0" w:rsidP="009A1FEC">
            <w:pPr>
              <w:pStyle w:val="TableParagraph"/>
              <w:ind w:right="517"/>
              <w:rPr>
                <w:b/>
                <w:sz w:val="24"/>
              </w:rPr>
            </w:pPr>
          </w:p>
          <w:p w14:paraId="3497D297" w14:textId="5144F140" w:rsidR="007706A0" w:rsidRPr="009E3A48" w:rsidRDefault="007706A0" w:rsidP="009A1FEC">
            <w:pPr>
              <w:pStyle w:val="TableParagraph"/>
              <w:ind w:right="690"/>
              <w:rPr>
                <w:b/>
                <w:sz w:val="24"/>
              </w:rPr>
            </w:pPr>
          </w:p>
        </w:tc>
        <w:tc>
          <w:tcPr>
            <w:tcW w:w="6946" w:type="dxa"/>
          </w:tcPr>
          <w:p w14:paraId="3F76BA94" w14:textId="77777777" w:rsidR="007706A0" w:rsidRPr="009E3A48" w:rsidRDefault="007706A0" w:rsidP="009A1FEC">
            <w:pPr>
              <w:pStyle w:val="TableParagraph"/>
              <w:ind w:right="154"/>
              <w:rPr>
                <w:sz w:val="24"/>
              </w:rPr>
            </w:pPr>
            <w:r w:rsidRPr="009E3A48">
              <w:rPr>
                <w:sz w:val="24"/>
              </w:rPr>
              <w:t>Where the applicant’s existing property is so unsuitable that re- housing would significantly result in an improvement in health or wellbeing.</w:t>
            </w:r>
          </w:p>
          <w:p w14:paraId="48E0A3CB" w14:textId="77777777" w:rsidR="007706A0" w:rsidRPr="009E3A48" w:rsidRDefault="007706A0" w:rsidP="009A1FEC">
            <w:pPr>
              <w:pStyle w:val="TableParagraph"/>
              <w:spacing w:before="120"/>
              <w:ind w:right="435"/>
              <w:rPr>
                <w:i/>
                <w:sz w:val="24"/>
              </w:rPr>
            </w:pPr>
            <w:r w:rsidRPr="009E3A48">
              <w:rPr>
                <w:i/>
                <w:sz w:val="24"/>
              </w:rPr>
              <w:t>Applicants requiring re-housing on medical grounds will be assessed by the Team Leader based on details provided by applicants on their medical condition and current housing situation.</w:t>
            </w:r>
          </w:p>
          <w:p w14:paraId="6CF88F64" w14:textId="5CD6570B" w:rsidR="007706A0" w:rsidRPr="009E3A48" w:rsidRDefault="007706A0" w:rsidP="009A1FEC">
            <w:pPr>
              <w:pStyle w:val="TableParagraph"/>
              <w:spacing w:before="120"/>
              <w:ind w:right="435"/>
              <w:rPr>
                <w:i/>
                <w:sz w:val="24"/>
              </w:rPr>
            </w:pPr>
            <w:r w:rsidRPr="009E3A48">
              <w:rPr>
                <w:i/>
                <w:sz w:val="24"/>
              </w:rPr>
              <w:t xml:space="preserve">Applicants of </w:t>
            </w:r>
            <w:r w:rsidR="00932979">
              <w:rPr>
                <w:i/>
                <w:sz w:val="24"/>
              </w:rPr>
              <w:t xml:space="preserve">a </w:t>
            </w:r>
            <w:r w:rsidRPr="009E3A48">
              <w:rPr>
                <w:i/>
                <w:sz w:val="24"/>
              </w:rPr>
              <w:t xml:space="preserve">CHR will be assessed by </w:t>
            </w:r>
            <w:r w:rsidR="009E3A48" w:rsidRPr="009E3A48">
              <w:rPr>
                <w:i/>
                <w:sz w:val="24"/>
              </w:rPr>
              <w:t xml:space="preserve">an </w:t>
            </w:r>
            <w:r w:rsidRPr="009E3A48">
              <w:rPr>
                <w:i/>
                <w:sz w:val="24"/>
              </w:rPr>
              <w:t>Independent Medical Advisor</w:t>
            </w:r>
            <w:r w:rsidR="009E3A48" w:rsidRPr="009E3A48">
              <w:rPr>
                <w:i/>
                <w:sz w:val="24"/>
              </w:rPr>
              <w:t xml:space="preserve"> where available.</w:t>
            </w:r>
          </w:p>
          <w:p w14:paraId="16A1D7B5" w14:textId="77777777" w:rsidR="007706A0" w:rsidRPr="009E3A48" w:rsidRDefault="007706A0" w:rsidP="009A1FEC">
            <w:pPr>
              <w:pStyle w:val="TableParagraph"/>
              <w:ind w:right="114"/>
              <w:rPr>
                <w:sz w:val="24"/>
              </w:rPr>
            </w:pPr>
          </w:p>
        </w:tc>
      </w:tr>
      <w:tr w:rsidR="007706A0" w14:paraId="2A8F3E22" w14:textId="77777777" w:rsidTr="005E0F51">
        <w:trPr>
          <w:trHeight w:val="70"/>
        </w:trPr>
        <w:tc>
          <w:tcPr>
            <w:tcW w:w="2404" w:type="dxa"/>
            <w:shd w:val="clear" w:color="auto" w:fill="auto"/>
          </w:tcPr>
          <w:p w14:paraId="7E695D96" w14:textId="77777777" w:rsidR="007706A0" w:rsidRPr="005E0F51" w:rsidRDefault="007706A0" w:rsidP="009A1FEC">
            <w:pPr>
              <w:pStyle w:val="TableParagraph"/>
              <w:ind w:right="690"/>
              <w:rPr>
                <w:b/>
                <w:sz w:val="24"/>
              </w:rPr>
            </w:pPr>
            <w:r w:rsidRPr="005E0F51">
              <w:rPr>
                <w:b/>
                <w:sz w:val="24"/>
              </w:rPr>
              <w:t>Return to community</w:t>
            </w:r>
          </w:p>
        </w:tc>
        <w:tc>
          <w:tcPr>
            <w:tcW w:w="6946" w:type="dxa"/>
            <w:shd w:val="clear" w:color="auto" w:fill="auto"/>
          </w:tcPr>
          <w:p w14:paraId="037B33D1" w14:textId="77777777" w:rsidR="007706A0" w:rsidRPr="005E0F51" w:rsidRDefault="007706A0" w:rsidP="009A1FEC">
            <w:pPr>
              <w:pStyle w:val="TableParagraph"/>
              <w:ind w:right="114"/>
              <w:rPr>
                <w:sz w:val="24"/>
              </w:rPr>
            </w:pPr>
            <w:r w:rsidRPr="005E0F51">
              <w:rPr>
                <w:sz w:val="24"/>
              </w:rPr>
              <w:t xml:space="preserve">Where a West of Scotland Housing Association tenant no longer needs an adapted property or support provided with the </w:t>
            </w:r>
            <w:r w:rsidRPr="005E0F51">
              <w:rPr>
                <w:sz w:val="24"/>
              </w:rPr>
              <w:lastRenderedPageBreak/>
              <w:t xml:space="preserve">accommodation. </w:t>
            </w:r>
          </w:p>
          <w:p w14:paraId="2B38512F" w14:textId="3C722ED3" w:rsidR="005E0F51" w:rsidRPr="005E0F51" w:rsidRDefault="005E0F51" w:rsidP="009A1FEC">
            <w:pPr>
              <w:pStyle w:val="TableParagraph"/>
              <w:ind w:right="114"/>
              <w:rPr>
                <w:sz w:val="24"/>
              </w:rPr>
            </w:pPr>
          </w:p>
        </w:tc>
      </w:tr>
      <w:tr w:rsidR="007706A0" w14:paraId="10E5D052" w14:textId="77777777" w:rsidTr="009E3A48">
        <w:trPr>
          <w:trHeight w:val="70"/>
        </w:trPr>
        <w:tc>
          <w:tcPr>
            <w:tcW w:w="2404" w:type="dxa"/>
          </w:tcPr>
          <w:p w14:paraId="18CEC7FB" w14:textId="6BCBCDD7" w:rsidR="007706A0" w:rsidRPr="009E3A48" w:rsidRDefault="007706A0" w:rsidP="009A1FEC">
            <w:pPr>
              <w:pStyle w:val="TableParagraph"/>
              <w:ind w:right="690"/>
              <w:rPr>
                <w:b/>
                <w:sz w:val="24"/>
              </w:rPr>
            </w:pPr>
            <w:r w:rsidRPr="009E3A48">
              <w:rPr>
                <w:b/>
                <w:sz w:val="24"/>
              </w:rPr>
              <w:lastRenderedPageBreak/>
              <w:t>Manageme</w:t>
            </w:r>
            <w:r w:rsidR="009E3A48" w:rsidRPr="009E3A48">
              <w:rPr>
                <w:b/>
                <w:sz w:val="24"/>
              </w:rPr>
              <w:t>n</w:t>
            </w:r>
            <w:r w:rsidRPr="009E3A48">
              <w:rPr>
                <w:b/>
                <w:sz w:val="24"/>
              </w:rPr>
              <w:t>t transfer</w:t>
            </w:r>
          </w:p>
        </w:tc>
        <w:tc>
          <w:tcPr>
            <w:tcW w:w="6946" w:type="dxa"/>
          </w:tcPr>
          <w:p w14:paraId="4FDA9DD5" w14:textId="25D61811" w:rsidR="007706A0" w:rsidRPr="009E3A48" w:rsidRDefault="007706A0" w:rsidP="009A1FEC">
            <w:pPr>
              <w:pStyle w:val="TableParagraph"/>
              <w:ind w:right="114"/>
              <w:rPr>
                <w:sz w:val="24"/>
              </w:rPr>
            </w:pPr>
            <w:r w:rsidRPr="009E3A48">
              <w:rPr>
                <w:sz w:val="24"/>
              </w:rPr>
              <w:t xml:space="preserve">Where there are </w:t>
            </w:r>
            <w:r w:rsidRPr="009E3A48">
              <w:rPr>
                <w:b/>
                <w:sz w:val="24"/>
              </w:rPr>
              <w:t xml:space="preserve">exceptional circumstances, </w:t>
            </w:r>
            <w:r w:rsidRPr="009E3A48">
              <w:rPr>
                <w:sz w:val="24"/>
              </w:rPr>
              <w:t xml:space="preserve">and the need for a transfer applicant to be moved as soon as possible is both acute and urgent and is </w:t>
            </w:r>
            <w:proofErr w:type="spellStart"/>
            <w:r w:rsidRPr="009E3A48">
              <w:rPr>
                <w:sz w:val="24"/>
              </w:rPr>
              <w:t>authori</w:t>
            </w:r>
            <w:r w:rsidR="009E3A48" w:rsidRPr="009E3A48">
              <w:rPr>
                <w:sz w:val="24"/>
              </w:rPr>
              <w:t>s</w:t>
            </w:r>
            <w:r w:rsidRPr="009E3A48">
              <w:rPr>
                <w:sz w:val="24"/>
              </w:rPr>
              <w:t>ed</w:t>
            </w:r>
            <w:proofErr w:type="spellEnd"/>
            <w:r w:rsidRPr="009E3A48">
              <w:rPr>
                <w:sz w:val="24"/>
              </w:rPr>
              <w:t xml:space="preserve"> by </w:t>
            </w:r>
            <w:r w:rsidR="009E3A48" w:rsidRPr="009E3A48">
              <w:rPr>
                <w:sz w:val="24"/>
              </w:rPr>
              <w:t>a Housing Manager or person of at least equivalent seniority to the Housing Manager.</w:t>
            </w:r>
          </w:p>
        </w:tc>
      </w:tr>
    </w:tbl>
    <w:p w14:paraId="5AB51844" w14:textId="77777777" w:rsidR="007706A0" w:rsidRDefault="007706A0" w:rsidP="00AB12C5">
      <w:pPr>
        <w:pStyle w:val="ListParagraph"/>
        <w:rPr>
          <w:b/>
          <w:bCs/>
        </w:rPr>
      </w:pPr>
    </w:p>
    <w:p w14:paraId="1235A875" w14:textId="77777777" w:rsidR="00AB12C5" w:rsidRPr="00AB12C5" w:rsidRDefault="00233DDD" w:rsidP="00AB12C5">
      <w:pPr>
        <w:pStyle w:val="Default"/>
        <w:numPr>
          <w:ilvl w:val="2"/>
          <w:numId w:val="1"/>
        </w:numPr>
        <w:ind w:left="709" w:hanging="709"/>
      </w:pPr>
      <w:r w:rsidRPr="00AB12C5">
        <w:rPr>
          <w:b/>
          <w:bCs/>
        </w:rPr>
        <w:t>Band 2: High Priority</w:t>
      </w:r>
      <w:bookmarkStart w:id="21" w:name="9.4.1_The_following_criteria_are_awarded"/>
      <w:bookmarkEnd w:id="21"/>
    </w:p>
    <w:p w14:paraId="2F8C4661" w14:textId="77777777" w:rsidR="00AB12C5" w:rsidRDefault="00AB12C5" w:rsidP="00AB12C5">
      <w:pPr>
        <w:pStyle w:val="ListParagraph"/>
      </w:pPr>
    </w:p>
    <w:p w14:paraId="16E58147" w14:textId="32258DFC" w:rsidR="00AB12C5" w:rsidRPr="00AB12C5" w:rsidRDefault="00AB12C5" w:rsidP="00AB12C5">
      <w:pPr>
        <w:pStyle w:val="Default"/>
        <w:numPr>
          <w:ilvl w:val="2"/>
          <w:numId w:val="1"/>
        </w:numPr>
        <w:ind w:left="709" w:hanging="709"/>
      </w:pPr>
      <w:r w:rsidRPr="00AB12C5">
        <w:t xml:space="preserve">The following criteria are awarded </w:t>
      </w:r>
      <w:r>
        <w:t>High</w:t>
      </w:r>
      <w:r w:rsidRPr="00AB12C5">
        <w:t xml:space="preserve"> Priority banding:</w:t>
      </w:r>
    </w:p>
    <w:p w14:paraId="4B3C8403" w14:textId="77777777" w:rsidR="00AB12C5" w:rsidRPr="00AB12C5" w:rsidRDefault="00AB12C5" w:rsidP="00AB12C5">
      <w:pPr>
        <w:pStyle w:val="Default"/>
        <w:ind w:left="709"/>
      </w:pPr>
    </w:p>
    <w:tbl>
      <w:tblPr>
        <w:tblW w:w="0" w:type="auto"/>
        <w:tblInd w:w="1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51"/>
        <w:gridCol w:w="6804"/>
      </w:tblGrid>
      <w:tr w:rsidR="00F8792B" w14:paraId="10B57391" w14:textId="77777777" w:rsidTr="009A1FEC">
        <w:trPr>
          <w:trHeight w:val="2541"/>
        </w:trPr>
        <w:tc>
          <w:tcPr>
            <w:tcW w:w="2551" w:type="dxa"/>
          </w:tcPr>
          <w:p w14:paraId="22C8A03C" w14:textId="77777777" w:rsidR="00F8792B" w:rsidRPr="00197AB5" w:rsidRDefault="00F8792B" w:rsidP="009A1FEC">
            <w:pPr>
              <w:pStyle w:val="TableParagraph"/>
              <w:spacing w:before="2"/>
              <w:rPr>
                <w:b/>
                <w:sz w:val="24"/>
              </w:rPr>
            </w:pPr>
            <w:r w:rsidRPr="00197AB5">
              <w:rPr>
                <w:b/>
                <w:sz w:val="24"/>
              </w:rPr>
              <w:t>Medical</w:t>
            </w:r>
          </w:p>
          <w:p w14:paraId="05B7D433" w14:textId="77777777" w:rsidR="00F8792B" w:rsidRPr="00FC673B" w:rsidRDefault="00F8792B" w:rsidP="009A1FEC">
            <w:pPr>
              <w:pStyle w:val="TableParagraph"/>
              <w:spacing w:before="2"/>
              <w:rPr>
                <w:b/>
                <w:sz w:val="24"/>
                <w:highlight w:val="yellow"/>
              </w:rPr>
            </w:pPr>
          </w:p>
          <w:p w14:paraId="539539E0" w14:textId="6E2C92A5" w:rsidR="00F8792B" w:rsidRPr="00FC673B" w:rsidRDefault="00F8792B" w:rsidP="009A1FEC">
            <w:pPr>
              <w:pStyle w:val="TableParagraph"/>
              <w:spacing w:before="2"/>
              <w:rPr>
                <w:b/>
                <w:sz w:val="24"/>
                <w:highlight w:val="yellow"/>
              </w:rPr>
            </w:pPr>
          </w:p>
        </w:tc>
        <w:tc>
          <w:tcPr>
            <w:tcW w:w="6804" w:type="dxa"/>
          </w:tcPr>
          <w:p w14:paraId="1EDA223D" w14:textId="77777777" w:rsidR="00F8792B" w:rsidRPr="009E3A48" w:rsidRDefault="00F8792B" w:rsidP="009A1FEC">
            <w:pPr>
              <w:pStyle w:val="TableParagraph"/>
              <w:spacing w:before="2"/>
              <w:ind w:left="110" w:right="474"/>
              <w:rPr>
                <w:sz w:val="24"/>
              </w:rPr>
            </w:pPr>
            <w:r w:rsidRPr="009E3A48">
              <w:rPr>
                <w:sz w:val="24"/>
              </w:rPr>
              <w:t>Where the applicant has a medical condition, which will be alleviated by re-housing.</w:t>
            </w:r>
          </w:p>
          <w:p w14:paraId="31604C29" w14:textId="77777777" w:rsidR="00F8792B" w:rsidRPr="009E3A48" w:rsidRDefault="00F8792B" w:rsidP="009A1FEC">
            <w:pPr>
              <w:pStyle w:val="TableParagraph"/>
              <w:spacing w:before="120"/>
              <w:ind w:left="110" w:right="154"/>
              <w:rPr>
                <w:i/>
                <w:sz w:val="24"/>
              </w:rPr>
            </w:pPr>
            <w:r w:rsidRPr="009E3A48">
              <w:rPr>
                <w:i/>
                <w:sz w:val="24"/>
              </w:rPr>
              <w:t>Applicants requiring re- housing on medical grounds will be assessed by the Team Leader based on details provided by applicants on their medical condition and current housing situation.</w:t>
            </w:r>
          </w:p>
          <w:p w14:paraId="56569E1B" w14:textId="603C4EF1" w:rsidR="00F8792B" w:rsidRPr="009E3A48" w:rsidRDefault="00F8792B" w:rsidP="009A1FEC">
            <w:pPr>
              <w:pStyle w:val="TableParagraph"/>
              <w:spacing w:before="120"/>
              <w:ind w:right="435"/>
              <w:rPr>
                <w:i/>
                <w:sz w:val="24"/>
              </w:rPr>
            </w:pPr>
            <w:r w:rsidRPr="009E3A48">
              <w:rPr>
                <w:i/>
                <w:sz w:val="24"/>
              </w:rPr>
              <w:t xml:space="preserve">Applicants of </w:t>
            </w:r>
            <w:r w:rsidR="00932979">
              <w:rPr>
                <w:i/>
                <w:sz w:val="24"/>
              </w:rPr>
              <w:t xml:space="preserve">a </w:t>
            </w:r>
            <w:r w:rsidRPr="009E3A48">
              <w:rPr>
                <w:i/>
                <w:sz w:val="24"/>
              </w:rPr>
              <w:t xml:space="preserve">CHR will be assessed by </w:t>
            </w:r>
            <w:r w:rsidR="009E3A48" w:rsidRPr="009E3A48">
              <w:rPr>
                <w:i/>
                <w:sz w:val="24"/>
              </w:rPr>
              <w:t xml:space="preserve">an </w:t>
            </w:r>
            <w:r w:rsidRPr="009E3A48">
              <w:rPr>
                <w:i/>
                <w:sz w:val="24"/>
              </w:rPr>
              <w:t>Independent Medical Advisor</w:t>
            </w:r>
            <w:r w:rsidR="009E3A48" w:rsidRPr="009E3A48">
              <w:rPr>
                <w:i/>
                <w:sz w:val="24"/>
              </w:rPr>
              <w:t xml:space="preserve"> where available.</w:t>
            </w:r>
          </w:p>
          <w:p w14:paraId="53FC4A26" w14:textId="77777777" w:rsidR="00F8792B" w:rsidRPr="00FC673B" w:rsidRDefault="00F8792B" w:rsidP="009A1FEC">
            <w:pPr>
              <w:pStyle w:val="TableParagraph"/>
              <w:spacing w:before="118"/>
              <w:ind w:left="110" w:right="-21"/>
              <w:rPr>
                <w:i/>
                <w:sz w:val="24"/>
                <w:highlight w:val="yellow"/>
              </w:rPr>
            </w:pPr>
          </w:p>
        </w:tc>
      </w:tr>
      <w:tr w:rsidR="00F8792B" w14:paraId="7826202F" w14:textId="77777777" w:rsidTr="009A1FEC">
        <w:trPr>
          <w:trHeight w:val="154"/>
        </w:trPr>
        <w:tc>
          <w:tcPr>
            <w:tcW w:w="2551" w:type="dxa"/>
          </w:tcPr>
          <w:p w14:paraId="1C1F3A66" w14:textId="22A8C579" w:rsidR="00F8792B" w:rsidRPr="00FC6E8B" w:rsidRDefault="00F8792B" w:rsidP="009A1FEC">
            <w:pPr>
              <w:pStyle w:val="TableParagraph"/>
              <w:ind w:right="400"/>
              <w:rPr>
                <w:b/>
                <w:sz w:val="24"/>
              </w:rPr>
            </w:pPr>
            <w:r w:rsidRPr="00FC6E8B">
              <w:rPr>
                <w:b/>
                <w:sz w:val="24"/>
              </w:rPr>
              <w:t>Giving and receiving support</w:t>
            </w:r>
            <w:r w:rsidR="00D03F0D" w:rsidRPr="00FC6E8B">
              <w:rPr>
                <w:b/>
                <w:sz w:val="24"/>
              </w:rPr>
              <w:t xml:space="preserve"> or to take up employment </w:t>
            </w:r>
          </w:p>
          <w:p w14:paraId="751021C9" w14:textId="77777777" w:rsidR="00F8792B" w:rsidRPr="003B1C8A" w:rsidRDefault="00F8792B" w:rsidP="009A1FEC"/>
          <w:p w14:paraId="06ED07D8" w14:textId="77777777" w:rsidR="00F8792B" w:rsidRDefault="00F8792B" w:rsidP="009A1FEC">
            <w:pPr>
              <w:rPr>
                <w:b/>
                <w:color w:val="FF0000"/>
                <w:sz w:val="24"/>
              </w:rPr>
            </w:pPr>
          </w:p>
          <w:p w14:paraId="4E52ABA1" w14:textId="287F8044" w:rsidR="00F8792B" w:rsidRPr="00FC673B" w:rsidRDefault="00F8792B" w:rsidP="009A1FEC">
            <w:pPr>
              <w:pStyle w:val="TableParagraph"/>
              <w:spacing w:before="2"/>
              <w:rPr>
                <w:b/>
                <w:sz w:val="24"/>
                <w:highlight w:val="yellow"/>
              </w:rPr>
            </w:pPr>
          </w:p>
        </w:tc>
        <w:tc>
          <w:tcPr>
            <w:tcW w:w="6804" w:type="dxa"/>
          </w:tcPr>
          <w:p w14:paraId="548F283D" w14:textId="77777777" w:rsidR="00F8792B" w:rsidRPr="00C57832" w:rsidRDefault="00F8792B" w:rsidP="009A1FEC">
            <w:pPr>
              <w:pStyle w:val="TableParagraph"/>
              <w:ind w:left="110" w:right="393"/>
              <w:rPr>
                <w:sz w:val="24"/>
              </w:rPr>
            </w:pPr>
            <w:r w:rsidRPr="00C57832">
              <w:rPr>
                <w:sz w:val="24"/>
              </w:rPr>
              <w:t>Where an applicant needs to move to either give or receive support i.e. for personal or medical care.</w:t>
            </w:r>
          </w:p>
          <w:p w14:paraId="13078374" w14:textId="77777777" w:rsidR="00F8792B" w:rsidRPr="00C57832" w:rsidRDefault="00F8792B" w:rsidP="009A1FEC">
            <w:pPr>
              <w:pStyle w:val="TableParagraph"/>
              <w:spacing w:before="120"/>
              <w:ind w:left="110" w:right="154"/>
              <w:rPr>
                <w:i/>
                <w:sz w:val="24"/>
              </w:rPr>
            </w:pPr>
            <w:r w:rsidRPr="00C57832">
              <w:rPr>
                <w:i/>
                <w:sz w:val="24"/>
              </w:rPr>
              <w:t>Medical priority for re- housing for applicants requiring or providing support will be assessed by the Team Leader based on details provided by applicants on their medical condition and current housing situation.</w:t>
            </w:r>
          </w:p>
          <w:p w14:paraId="7136DFA4" w14:textId="096D30C2" w:rsidR="00197AB5" w:rsidRDefault="00197AB5" w:rsidP="00197AB5">
            <w:pPr>
              <w:pStyle w:val="TableParagraph"/>
              <w:spacing w:before="120"/>
              <w:ind w:right="435"/>
              <w:rPr>
                <w:i/>
                <w:sz w:val="24"/>
              </w:rPr>
            </w:pPr>
            <w:r w:rsidRPr="009E3A48">
              <w:rPr>
                <w:i/>
                <w:sz w:val="24"/>
              </w:rPr>
              <w:t xml:space="preserve">Applicants of </w:t>
            </w:r>
            <w:r w:rsidR="00932979">
              <w:rPr>
                <w:i/>
                <w:sz w:val="24"/>
              </w:rPr>
              <w:t xml:space="preserve">a </w:t>
            </w:r>
            <w:r w:rsidRPr="009E3A48">
              <w:rPr>
                <w:i/>
                <w:sz w:val="24"/>
              </w:rPr>
              <w:t>CHR will be assessed by an Independent Medical Advisor where available.</w:t>
            </w:r>
          </w:p>
          <w:p w14:paraId="66A7E086" w14:textId="01D5C232" w:rsidR="00F8792B" w:rsidRDefault="00FC6E8B" w:rsidP="00FC6E8B">
            <w:pPr>
              <w:pStyle w:val="TableParagraph"/>
              <w:spacing w:before="120"/>
              <w:ind w:right="435"/>
              <w:rPr>
                <w:iCs/>
                <w:sz w:val="24"/>
              </w:rPr>
            </w:pPr>
            <w:r>
              <w:rPr>
                <w:iCs/>
                <w:sz w:val="24"/>
              </w:rPr>
              <w:t xml:space="preserve">Applicants who are moving to an area to take up an offer of employment and </w:t>
            </w:r>
            <w:r w:rsidRPr="00FC6E8B">
              <w:rPr>
                <w:iCs/>
                <w:sz w:val="24"/>
              </w:rPr>
              <w:t xml:space="preserve">have received a formal </w:t>
            </w:r>
            <w:r w:rsidR="003C66AB">
              <w:rPr>
                <w:iCs/>
                <w:sz w:val="24"/>
              </w:rPr>
              <w:t>confirmation of this.</w:t>
            </w:r>
          </w:p>
          <w:p w14:paraId="0F061A28" w14:textId="415EA334" w:rsidR="00FC6E8B" w:rsidRPr="00FC673B" w:rsidRDefault="00FC6E8B" w:rsidP="00FC6E8B">
            <w:pPr>
              <w:pStyle w:val="TableParagraph"/>
              <w:spacing w:before="120"/>
              <w:ind w:right="435"/>
              <w:rPr>
                <w:sz w:val="24"/>
                <w:highlight w:val="yellow"/>
              </w:rPr>
            </w:pPr>
          </w:p>
        </w:tc>
      </w:tr>
      <w:tr w:rsidR="00F8792B" w14:paraId="3356BBEF" w14:textId="77777777" w:rsidTr="00197AB5">
        <w:trPr>
          <w:trHeight w:val="154"/>
        </w:trPr>
        <w:tc>
          <w:tcPr>
            <w:tcW w:w="2551" w:type="dxa"/>
            <w:shd w:val="clear" w:color="auto" w:fill="auto"/>
          </w:tcPr>
          <w:p w14:paraId="69AD98FE" w14:textId="77777777" w:rsidR="00F8792B" w:rsidRPr="00197AB5" w:rsidRDefault="00F8792B" w:rsidP="009A1FEC">
            <w:pPr>
              <w:pStyle w:val="TableParagraph"/>
              <w:rPr>
                <w:b/>
                <w:sz w:val="24"/>
              </w:rPr>
            </w:pPr>
            <w:r w:rsidRPr="00197AB5">
              <w:rPr>
                <w:b/>
                <w:sz w:val="24"/>
              </w:rPr>
              <w:t>Overcrowding</w:t>
            </w:r>
          </w:p>
          <w:p w14:paraId="43D33418" w14:textId="77777777" w:rsidR="00F8792B" w:rsidRPr="00197AB5" w:rsidRDefault="00F8792B" w:rsidP="009A1FEC">
            <w:pPr>
              <w:pStyle w:val="TableParagraph"/>
              <w:rPr>
                <w:b/>
                <w:sz w:val="24"/>
              </w:rPr>
            </w:pPr>
          </w:p>
          <w:p w14:paraId="5D700467" w14:textId="3295F8CB" w:rsidR="00F8792B" w:rsidRPr="00197AB5" w:rsidRDefault="00F8792B" w:rsidP="009A1FEC">
            <w:pPr>
              <w:pStyle w:val="TableParagraph"/>
              <w:spacing w:before="2"/>
              <w:rPr>
                <w:b/>
                <w:sz w:val="24"/>
              </w:rPr>
            </w:pPr>
          </w:p>
        </w:tc>
        <w:tc>
          <w:tcPr>
            <w:tcW w:w="6804" w:type="dxa"/>
            <w:shd w:val="clear" w:color="auto" w:fill="auto"/>
          </w:tcPr>
          <w:p w14:paraId="5A05E24C" w14:textId="407C9268" w:rsidR="00F8792B" w:rsidRDefault="00F8792B" w:rsidP="009A1FEC">
            <w:pPr>
              <w:pStyle w:val="TableParagraph"/>
              <w:spacing w:before="2"/>
              <w:ind w:left="110" w:right="474"/>
              <w:rPr>
                <w:sz w:val="24"/>
              </w:rPr>
            </w:pPr>
            <w:r w:rsidRPr="00197AB5">
              <w:rPr>
                <w:sz w:val="24"/>
              </w:rPr>
              <w:t xml:space="preserve">Where the applicant’s current accommodation is overcrowded when assessed against criteria set out at section </w:t>
            </w:r>
            <w:r w:rsidR="00197AB5" w:rsidRPr="00197AB5">
              <w:rPr>
                <w:sz w:val="24"/>
              </w:rPr>
              <w:t>8.9 - House types and sizes to be allocated</w:t>
            </w:r>
            <w:r w:rsidR="00551D60">
              <w:rPr>
                <w:sz w:val="24"/>
              </w:rPr>
              <w:t xml:space="preserve"> - by one</w:t>
            </w:r>
            <w:r w:rsidR="00150CC7">
              <w:rPr>
                <w:sz w:val="24"/>
              </w:rPr>
              <w:t xml:space="preserve"> or two</w:t>
            </w:r>
            <w:r w:rsidR="00551D60">
              <w:rPr>
                <w:sz w:val="24"/>
              </w:rPr>
              <w:t xml:space="preserve"> bedroom</w:t>
            </w:r>
            <w:r w:rsidR="00150CC7">
              <w:rPr>
                <w:sz w:val="24"/>
              </w:rPr>
              <w:t>s</w:t>
            </w:r>
            <w:r w:rsidRPr="00197AB5">
              <w:rPr>
                <w:sz w:val="24"/>
              </w:rPr>
              <w:t>.</w:t>
            </w:r>
          </w:p>
          <w:p w14:paraId="2D65BED5" w14:textId="3E764370" w:rsidR="00197AB5" w:rsidRPr="00197AB5" w:rsidRDefault="00197AB5" w:rsidP="009A1FEC">
            <w:pPr>
              <w:pStyle w:val="TableParagraph"/>
              <w:spacing w:before="2"/>
              <w:ind w:left="110" w:right="474"/>
              <w:rPr>
                <w:sz w:val="24"/>
              </w:rPr>
            </w:pPr>
          </w:p>
        </w:tc>
      </w:tr>
      <w:tr w:rsidR="00F8792B" w14:paraId="1C4D146E" w14:textId="77777777" w:rsidTr="009A1FEC">
        <w:trPr>
          <w:trHeight w:val="154"/>
        </w:trPr>
        <w:tc>
          <w:tcPr>
            <w:tcW w:w="2551" w:type="dxa"/>
          </w:tcPr>
          <w:p w14:paraId="21748F66" w14:textId="77777777" w:rsidR="00F8792B" w:rsidRPr="00197AB5" w:rsidRDefault="00F8792B" w:rsidP="009A1FEC">
            <w:pPr>
              <w:pStyle w:val="TableParagraph"/>
              <w:rPr>
                <w:b/>
                <w:sz w:val="24"/>
              </w:rPr>
            </w:pPr>
            <w:r w:rsidRPr="00197AB5">
              <w:rPr>
                <w:b/>
                <w:sz w:val="24"/>
              </w:rPr>
              <w:t>Under occupation</w:t>
            </w:r>
          </w:p>
          <w:p w14:paraId="0FAE1227" w14:textId="77777777" w:rsidR="00F8792B" w:rsidRPr="00197AB5" w:rsidRDefault="00F8792B" w:rsidP="009A1FEC">
            <w:pPr>
              <w:pStyle w:val="TableParagraph"/>
              <w:rPr>
                <w:b/>
                <w:sz w:val="24"/>
              </w:rPr>
            </w:pPr>
          </w:p>
          <w:p w14:paraId="70C82024" w14:textId="77777777" w:rsidR="00F8792B" w:rsidRPr="00197AB5" w:rsidRDefault="00F8792B" w:rsidP="00197AB5">
            <w:pPr>
              <w:pStyle w:val="TableParagraph"/>
              <w:rPr>
                <w:b/>
                <w:sz w:val="24"/>
              </w:rPr>
            </w:pPr>
          </w:p>
        </w:tc>
        <w:tc>
          <w:tcPr>
            <w:tcW w:w="6804" w:type="dxa"/>
          </w:tcPr>
          <w:p w14:paraId="4885E6EF" w14:textId="194EFE7F" w:rsidR="00F8792B" w:rsidRPr="00197AB5" w:rsidRDefault="00197AB5" w:rsidP="009A1FEC">
            <w:pPr>
              <w:pStyle w:val="TableParagraph"/>
              <w:ind w:left="110" w:right="354"/>
              <w:rPr>
                <w:sz w:val="24"/>
              </w:rPr>
            </w:pPr>
            <w:r w:rsidRPr="00197AB5">
              <w:rPr>
                <w:sz w:val="24"/>
              </w:rPr>
              <w:t>Ex</w:t>
            </w:r>
            <w:r w:rsidR="00F8792B" w:rsidRPr="00197AB5">
              <w:rPr>
                <w:sz w:val="24"/>
              </w:rPr>
              <w:t xml:space="preserve">isting social housing tenants who are living in houses with </w:t>
            </w:r>
            <w:r w:rsidR="00932979">
              <w:rPr>
                <w:sz w:val="24"/>
              </w:rPr>
              <w:t xml:space="preserve">one </w:t>
            </w:r>
            <w:r w:rsidR="00F8792B" w:rsidRPr="00197AB5">
              <w:rPr>
                <w:sz w:val="24"/>
              </w:rPr>
              <w:t>bedroom over and above the minimum requirement for their present needs.</w:t>
            </w:r>
          </w:p>
          <w:p w14:paraId="53F9415B" w14:textId="77777777" w:rsidR="00F8792B" w:rsidRPr="00197AB5" w:rsidRDefault="00F8792B" w:rsidP="009A1FEC">
            <w:pPr>
              <w:pStyle w:val="TableParagraph"/>
              <w:spacing w:before="2"/>
              <w:ind w:left="110" w:right="474"/>
              <w:rPr>
                <w:sz w:val="24"/>
              </w:rPr>
            </w:pPr>
            <w:r w:rsidRPr="00197AB5">
              <w:rPr>
                <w:i/>
                <w:sz w:val="24"/>
              </w:rPr>
              <w:t>The household or circumstances of the applicant must have changed since they accepted the tenancy of their current accommodation before they can be eligible for under occupation priority.</w:t>
            </w:r>
          </w:p>
        </w:tc>
      </w:tr>
      <w:tr w:rsidR="00F8792B" w14:paraId="0AECC2C5" w14:textId="77777777" w:rsidTr="009A1FEC">
        <w:trPr>
          <w:trHeight w:val="154"/>
        </w:trPr>
        <w:tc>
          <w:tcPr>
            <w:tcW w:w="2551" w:type="dxa"/>
          </w:tcPr>
          <w:p w14:paraId="541587AB" w14:textId="77777777" w:rsidR="00F8792B" w:rsidRDefault="00F8792B" w:rsidP="009A1FEC">
            <w:pPr>
              <w:pStyle w:val="TableParagraph"/>
              <w:ind w:right="280"/>
              <w:rPr>
                <w:b/>
                <w:sz w:val="24"/>
              </w:rPr>
            </w:pPr>
            <w:r>
              <w:rPr>
                <w:b/>
                <w:sz w:val="24"/>
              </w:rPr>
              <w:t xml:space="preserve">Repeated victim of </w:t>
            </w:r>
            <w:r>
              <w:rPr>
                <w:b/>
                <w:sz w:val="24"/>
              </w:rPr>
              <w:lastRenderedPageBreak/>
              <w:t>ASB</w:t>
            </w:r>
          </w:p>
          <w:p w14:paraId="59027E71" w14:textId="77777777" w:rsidR="00F8792B" w:rsidRPr="00FC673B" w:rsidRDefault="00F8792B" w:rsidP="009A1FEC">
            <w:pPr>
              <w:pStyle w:val="TableParagraph"/>
              <w:spacing w:before="2"/>
              <w:rPr>
                <w:b/>
                <w:sz w:val="24"/>
                <w:highlight w:val="yellow"/>
              </w:rPr>
            </w:pPr>
          </w:p>
        </w:tc>
        <w:tc>
          <w:tcPr>
            <w:tcW w:w="6804" w:type="dxa"/>
          </w:tcPr>
          <w:p w14:paraId="4FB98E4A" w14:textId="77777777" w:rsidR="00F8792B" w:rsidRDefault="00F8792B" w:rsidP="009A1FEC">
            <w:pPr>
              <w:pStyle w:val="TableParagraph"/>
              <w:ind w:left="110" w:right="87"/>
              <w:rPr>
                <w:sz w:val="24"/>
              </w:rPr>
            </w:pPr>
            <w:r>
              <w:rPr>
                <w:sz w:val="24"/>
              </w:rPr>
              <w:lastRenderedPageBreak/>
              <w:t xml:space="preserve">Where the applicant is suffering from current and serious ASB </w:t>
            </w:r>
            <w:r>
              <w:rPr>
                <w:sz w:val="24"/>
              </w:rPr>
              <w:lastRenderedPageBreak/>
              <w:t>which will be alleviated by moving house.</w:t>
            </w:r>
          </w:p>
          <w:p w14:paraId="1C949389" w14:textId="77777777" w:rsidR="00F8792B" w:rsidRPr="00FC673B" w:rsidRDefault="00F8792B" w:rsidP="009A1FEC">
            <w:pPr>
              <w:pStyle w:val="TableParagraph"/>
              <w:spacing w:before="2"/>
              <w:ind w:left="110" w:right="474"/>
              <w:rPr>
                <w:sz w:val="24"/>
                <w:highlight w:val="yellow"/>
              </w:rPr>
            </w:pPr>
            <w:r>
              <w:rPr>
                <w:i/>
                <w:sz w:val="24"/>
              </w:rPr>
              <w:t>Requires supporting evidence e.g. from the police, health professional, social worker or housing officer.</w:t>
            </w:r>
          </w:p>
        </w:tc>
      </w:tr>
      <w:tr w:rsidR="00F8792B" w14:paraId="0EC92685" w14:textId="77777777" w:rsidTr="009A1FEC">
        <w:trPr>
          <w:trHeight w:val="154"/>
        </w:trPr>
        <w:tc>
          <w:tcPr>
            <w:tcW w:w="2551" w:type="dxa"/>
          </w:tcPr>
          <w:p w14:paraId="37F8A46F" w14:textId="77777777" w:rsidR="00F8792B" w:rsidRDefault="00F8792B" w:rsidP="009A1FEC">
            <w:pPr>
              <w:pStyle w:val="TableParagraph"/>
              <w:ind w:right="147"/>
              <w:rPr>
                <w:b/>
                <w:sz w:val="24"/>
              </w:rPr>
            </w:pPr>
            <w:r w:rsidRPr="00197AB5">
              <w:rPr>
                <w:b/>
                <w:sz w:val="24"/>
              </w:rPr>
              <w:lastRenderedPageBreak/>
              <w:t>Poor quality property in terms of condition/disrepair</w:t>
            </w:r>
          </w:p>
          <w:p w14:paraId="58C8F7E3" w14:textId="77777777" w:rsidR="00F8792B" w:rsidRPr="00932D42" w:rsidRDefault="00F8792B" w:rsidP="009A1FEC"/>
          <w:p w14:paraId="30DA96D5" w14:textId="77777777" w:rsidR="00F8792B" w:rsidRDefault="00F8792B" w:rsidP="009A1FEC">
            <w:pPr>
              <w:rPr>
                <w:b/>
                <w:sz w:val="24"/>
              </w:rPr>
            </w:pPr>
          </w:p>
          <w:p w14:paraId="4CD93B46" w14:textId="479CF50E" w:rsidR="00F8792B" w:rsidRPr="00FC673B" w:rsidRDefault="00F8792B" w:rsidP="009A1FEC">
            <w:pPr>
              <w:pStyle w:val="TableParagraph"/>
              <w:spacing w:before="2"/>
              <w:rPr>
                <w:b/>
                <w:sz w:val="24"/>
                <w:highlight w:val="yellow"/>
              </w:rPr>
            </w:pPr>
            <w:r>
              <w:t xml:space="preserve"> </w:t>
            </w:r>
          </w:p>
        </w:tc>
        <w:tc>
          <w:tcPr>
            <w:tcW w:w="6804" w:type="dxa"/>
          </w:tcPr>
          <w:p w14:paraId="44C3DAB9" w14:textId="23052F2B" w:rsidR="00F8792B" w:rsidRPr="00197AB5" w:rsidRDefault="00F8792B" w:rsidP="009A1FEC">
            <w:pPr>
              <w:pStyle w:val="TableParagraph"/>
              <w:ind w:left="110" w:right="207"/>
              <w:rPr>
                <w:sz w:val="24"/>
              </w:rPr>
            </w:pPr>
            <w:r w:rsidRPr="00197AB5">
              <w:rPr>
                <w:sz w:val="24"/>
              </w:rPr>
              <w:t xml:space="preserve">Where the existing property of the applicant is unsafe or unfit and falls into </w:t>
            </w:r>
            <w:r w:rsidR="00932979">
              <w:rPr>
                <w:sz w:val="24"/>
              </w:rPr>
              <w:t xml:space="preserve">at least one of </w:t>
            </w:r>
            <w:r w:rsidRPr="00197AB5">
              <w:rPr>
                <w:sz w:val="24"/>
              </w:rPr>
              <w:t>the following:</w:t>
            </w:r>
          </w:p>
          <w:p w14:paraId="28AAD36F" w14:textId="77777777" w:rsidR="00F8792B" w:rsidRPr="00197AB5" w:rsidRDefault="00F8792B" w:rsidP="00F8792B">
            <w:pPr>
              <w:pStyle w:val="TableParagraph"/>
              <w:numPr>
                <w:ilvl w:val="0"/>
                <w:numId w:val="38"/>
              </w:numPr>
              <w:tabs>
                <w:tab w:val="left" w:pos="830"/>
                <w:tab w:val="left" w:pos="831"/>
              </w:tabs>
              <w:spacing w:before="120"/>
              <w:ind w:hanging="414"/>
              <w:rPr>
                <w:sz w:val="24"/>
              </w:rPr>
            </w:pPr>
            <w:r w:rsidRPr="00197AB5">
              <w:rPr>
                <w:sz w:val="24"/>
              </w:rPr>
              <w:t>serious structural</w:t>
            </w:r>
            <w:r w:rsidRPr="00197AB5">
              <w:rPr>
                <w:spacing w:val="-1"/>
                <w:sz w:val="24"/>
              </w:rPr>
              <w:t xml:space="preserve"> </w:t>
            </w:r>
            <w:r w:rsidRPr="00197AB5">
              <w:rPr>
                <w:sz w:val="24"/>
              </w:rPr>
              <w:t>defects;</w:t>
            </w:r>
          </w:p>
          <w:p w14:paraId="3C7E1634" w14:textId="77777777" w:rsidR="00F8792B" w:rsidRPr="00197AB5" w:rsidRDefault="00F8792B" w:rsidP="00F8792B">
            <w:pPr>
              <w:pStyle w:val="TableParagraph"/>
              <w:numPr>
                <w:ilvl w:val="0"/>
                <w:numId w:val="38"/>
              </w:numPr>
              <w:tabs>
                <w:tab w:val="left" w:pos="830"/>
                <w:tab w:val="left" w:pos="831"/>
              </w:tabs>
              <w:ind w:hanging="414"/>
              <w:rPr>
                <w:sz w:val="24"/>
              </w:rPr>
            </w:pPr>
            <w:r w:rsidRPr="00197AB5">
              <w:rPr>
                <w:sz w:val="24"/>
              </w:rPr>
              <w:t>no running</w:t>
            </w:r>
            <w:r w:rsidRPr="00197AB5">
              <w:rPr>
                <w:spacing w:val="-1"/>
                <w:sz w:val="24"/>
              </w:rPr>
              <w:t xml:space="preserve"> </w:t>
            </w:r>
            <w:r w:rsidRPr="00197AB5">
              <w:rPr>
                <w:sz w:val="24"/>
              </w:rPr>
              <w:t>water;</w:t>
            </w:r>
          </w:p>
          <w:p w14:paraId="4C268A4D" w14:textId="77777777" w:rsidR="00F8792B" w:rsidRPr="00197AB5" w:rsidRDefault="00F8792B" w:rsidP="00F8792B">
            <w:pPr>
              <w:pStyle w:val="TableParagraph"/>
              <w:numPr>
                <w:ilvl w:val="0"/>
                <w:numId w:val="38"/>
              </w:numPr>
              <w:tabs>
                <w:tab w:val="left" w:pos="830"/>
                <w:tab w:val="left" w:pos="831"/>
              </w:tabs>
              <w:ind w:hanging="414"/>
              <w:rPr>
                <w:sz w:val="24"/>
              </w:rPr>
            </w:pPr>
            <w:r w:rsidRPr="00197AB5">
              <w:rPr>
                <w:sz w:val="24"/>
              </w:rPr>
              <w:t>no inside</w:t>
            </w:r>
            <w:r w:rsidRPr="00197AB5">
              <w:rPr>
                <w:spacing w:val="1"/>
                <w:sz w:val="24"/>
              </w:rPr>
              <w:t xml:space="preserve"> </w:t>
            </w:r>
            <w:r w:rsidRPr="00197AB5">
              <w:rPr>
                <w:sz w:val="24"/>
              </w:rPr>
              <w:t>toilet;</w:t>
            </w:r>
          </w:p>
          <w:p w14:paraId="7D949BC3" w14:textId="77777777" w:rsidR="00F8792B" w:rsidRPr="00197AB5" w:rsidRDefault="00F8792B" w:rsidP="00F8792B">
            <w:pPr>
              <w:pStyle w:val="TableParagraph"/>
              <w:numPr>
                <w:ilvl w:val="0"/>
                <w:numId w:val="38"/>
              </w:numPr>
              <w:tabs>
                <w:tab w:val="left" w:pos="830"/>
                <w:tab w:val="left" w:pos="831"/>
              </w:tabs>
              <w:ind w:hanging="414"/>
              <w:rPr>
                <w:sz w:val="24"/>
              </w:rPr>
            </w:pPr>
            <w:r w:rsidRPr="00197AB5">
              <w:rPr>
                <w:sz w:val="24"/>
              </w:rPr>
              <w:t>no bath or</w:t>
            </w:r>
            <w:r w:rsidRPr="00197AB5">
              <w:rPr>
                <w:spacing w:val="-2"/>
                <w:sz w:val="24"/>
              </w:rPr>
              <w:t xml:space="preserve"> </w:t>
            </w:r>
            <w:r w:rsidRPr="00197AB5">
              <w:rPr>
                <w:sz w:val="24"/>
              </w:rPr>
              <w:t>shower;</w:t>
            </w:r>
          </w:p>
          <w:p w14:paraId="49288857" w14:textId="77777777" w:rsidR="00F8792B" w:rsidRPr="00197AB5" w:rsidRDefault="00F8792B" w:rsidP="00F8792B">
            <w:pPr>
              <w:pStyle w:val="TableParagraph"/>
              <w:numPr>
                <w:ilvl w:val="0"/>
                <w:numId w:val="38"/>
              </w:numPr>
              <w:tabs>
                <w:tab w:val="left" w:pos="830"/>
                <w:tab w:val="left" w:pos="831"/>
              </w:tabs>
              <w:ind w:hanging="414"/>
              <w:rPr>
                <w:sz w:val="24"/>
              </w:rPr>
            </w:pPr>
            <w:r w:rsidRPr="00197AB5">
              <w:rPr>
                <w:sz w:val="24"/>
              </w:rPr>
              <w:t>damp;</w:t>
            </w:r>
            <w:r w:rsidRPr="00197AB5">
              <w:rPr>
                <w:spacing w:val="-3"/>
                <w:sz w:val="24"/>
              </w:rPr>
              <w:t xml:space="preserve"> </w:t>
            </w:r>
            <w:r w:rsidRPr="00197AB5">
              <w:rPr>
                <w:sz w:val="24"/>
              </w:rPr>
              <w:t>and</w:t>
            </w:r>
          </w:p>
          <w:p w14:paraId="33035F3A" w14:textId="77777777" w:rsidR="00F8792B" w:rsidRPr="00197AB5" w:rsidRDefault="00F8792B" w:rsidP="00F8792B">
            <w:pPr>
              <w:pStyle w:val="TableParagraph"/>
              <w:numPr>
                <w:ilvl w:val="0"/>
                <w:numId w:val="38"/>
              </w:numPr>
              <w:tabs>
                <w:tab w:val="left" w:pos="830"/>
                <w:tab w:val="left" w:pos="831"/>
              </w:tabs>
              <w:ind w:hanging="414"/>
              <w:rPr>
                <w:sz w:val="24"/>
              </w:rPr>
            </w:pPr>
            <w:r w:rsidRPr="00197AB5">
              <w:rPr>
                <w:sz w:val="24"/>
              </w:rPr>
              <w:t>no full central</w:t>
            </w:r>
            <w:r w:rsidRPr="00197AB5">
              <w:rPr>
                <w:spacing w:val="-5"/>
                <w:sz w:val="24"/>
              </w:rPr>
              <w:t xml:space="preserve"> </w:t>
            </w:r>
            <w:r w:rsidRPr="00197AB5">
              <w:rPr>
                <w:sz w:val="24"/>
              </w:rPr>
              <w:t>heating.</w:t>
            </w:r>
          </w:p>
          <w:p w14:paraId="236903F2" w14:textId="77777777" w:rsidR="00F8792B" w:rsidRPr="00FC673B" w:rsidRDefault="00F8792B" w:rsidP="009A1FEC">
            <w:pPr>
              <w:pStyle w:val="TableParagraph"/>
              <w:spacing w:before="2"/>
              <w:ind w:left="110" w:right="474"/>
              <w:rPr>
                <w:sz w:val="24"/>
                <w:highlight w:val="yellow"/>
              </w:rPr>
            </w:pPr>
            <w:r w:rsidRPr="00197AB5">
              <w:rPr>
                <w:i/>
                <w:sz w:val="24"/>
              </w:rPr>
              <w:t>Requires documented evidence from Environmental Health or another relevant agency.</w:t>
            </w:r>
          </w:p>
        </w:tc>
      </w:tr>
      <w:tr w:rsidR="00F8792B" w14:paraId="65C184D8" w14:textId="77777777" w:rsidTr="009A1FEC">
        <w:trPr>
          <w:trHeight w:val="154"/>
        </w:trPr>
        <w:tc>
          <w:tcPr>
            <w:tcW w:w="2551" w:type="dxa"/>
          </w:tcPr>
          <w:p w14:paraId="55D77A5B" w14:textId="77777777" w:rsidR="00F8792B" w:rsidRPr="00197AB5" w:rsidRDefault="00F8792B" w:rsidP="009A1FEC">
            <w:pPr>
              <w:pStyle w:val="TableParagraph"/>
              <w:spacing w:before="2"/>
              <w:rPr>
                <w:b/>
                <w:sz w:val="24"/>
              </w:rPr>
            </w:pPr>
            <w:r w:rsidRPr="00197AB5">
              <w:rPr>
                <w:b/>
                <w:sz w:val="24"/>
              </w:rPr>
              <w:t>Non-secure accommodation</w:t>
            </w:r>
          </w:p>
        </w:tc>
        <w:tc>
          <w:tcPr>
            <w:tcW w:w="6804" w:type="dxa"/>
          </w:tcPr>
          <w:p w14:paraId="467DDE2F" w14:textId="77777777" w:rsidR="00F8792B" w:rsidRPr="00FC673B" w:rsidRDefault="00F8792B" w:rsidP="009A1FEC">
            <w:pPr>
              <w:pStyle w:val="TableParagraph"/>
              <w:spacing w:before="2"/>
              <w:ind w:left="110" w:right="474"/>
              <w:rPr>
                <w:sz w:val="24"/>
                <w:highlight w:val="yellow"/>
              </w:rPr>
            </w:pPr>
            <w:r>
              <w:rPr>
                <w:sz w:val="24"/>
              </w:rPr>
              <w:t>Applicants who have been assessed as unintentionally homeless or threatened with homelessness by a local authority.</w:t>
            </w:r>
          </w:p>
        </w:tc>
      </w:tr>
      <w:tr w:rsidR="00F8792B" w14:paraId="733461BE" w14:textId="77777777" w:rsidTr="009A1FEC">
        <w:trPr>
          <w:trHeight w:val="154"/>
        </w:trPr>
        <w:tc>
          <w:tcPr>
            <w:tcW w:w="2551" w:type="dxa"/>
          </w:tcPr>
          <w:p w14:paraId="4C122F28" w14:textId="77777777" w:rsidR="00F8792B" w:rsidRPr="00197AB5" w:rsidRDefault="00F8792B" w:rsidP="009A1FEC">
            <w:pPr>
              <w:pStyle w:val="TableParagraph"/>
              <w:spacing w:before="2"/>
              <w:rPr>
                <w:b/>
                <w:sz w:val="24"/>
              </w:rPr>
            </w:pPr>
            <w:r w:rsidRPr="00197AB5">
              <w:rPr>
                <w:b/>
                <w:sz w:val="24"/>
              </w:rPr>
              <w:t>Leaving Armed Forces</w:t>
            </w:r>
          </w:p>
        </w:tc>
        <w:tc>
          <w:tcPr>
            <w:tcW w:w="6804" w:type="dxa"/>
          </w:tcPr>
          <w:p w14:paraId="70A7DF74" w14:textId="0087B2C3" w:rsidR="00F8792B" w:rsidRPr="00FC673B" w:rsidRDefault="00F8792B" w:rsidP="009A1FEC">
            <w:pPr>
              <w:pStyle w:val="TableParagraph"/>
              <w:spacing w:before="2"/>
              <w:ind w:left="110" w:right="474"/>
              <w:rPr>
                <w:sz w:val="24"/>
                <w:highlight w:val="yellow"/>
              </w:rPr>
            </w:pPr>
            <w:r w:rsidRPr="003B1C8A">
              <w:rPr>
                <w:sz w:val="24"/>
              </w:rPr>
              <w:t xml:space="preserve">Applicants serving in the British Ministry of </w:t>
            </w:r>
            <w:proofErr w:type="spellStart"/>
            <w:r w:rsidRPr="003B1C8A">
              <w:rPr>
                <w:sz w:val="24"/>
              </w:rPr>
              <w:t>Defence</w:t>
            </w:r>
            <w:proofErr w:type="spellEnd"/>
            <w:r w:rsidRPr="003B1C8A">
              <w:rPr>
                <w:sz w:val="24"/>
              </w:rPr>
              <w:t xml:space="preserve"> Armed Forces up to one year ahead of their date to an </w:t>
            </w:r>
            <w:proofErr w:type="spellStart"/>
            <w:r w:rsidRPr="003B1C8A">
              <w:rPr>
                <w:sz w:val="24"/>
              </w:rPr>
              <w:t>honourable</w:t>
            </w:r>
            <w:proofErr w:type="spellEnd"/>
            <w:r w:rsidRPr="003B1C8A">
              <w:rPr>
                <w:sz w:val="24"/>
              </w:rPr>
              <w:t xml:space="preserve"> discharge and 6 months after. They must have completed three </w:t>
            </w:r>
            <w:proofErr w:type="spellStart"/>
            <w:r w:rsidRPr="003B1C8A">
              <w:rPr>
                <w:sz w:val="24"/>
              </w:rPr>
              <w:t>years service</w:t>
            </w:r>
            <w:proofErr w:type="spellEnd"/>
            <w:r w:rsidRPr="003B1C8A">
              <w:rPr>
                <w:sz w:val="24"/>
              </w:rPr>
              <w:t xml:space="preserve"> or one full tour of duty.</w:t>
            </w:r>
          </w:p>
        </w:tc>
      </w:tr>
      <w:tr w:rsidR="00F8792B" w14:paraId="7CE23658" w14:textId="77777777" w:rsidTr="009A1FEC">
        <w:trPr>
          <w:trHeight w:val="154"/>
        </w:trPr>
        <w:tc>
          <w:tcPr>
            <w:tcW w:w="2551" w:type="dxa"/>
          </w:tcPr>
          <w:p w14:paraId="3B96B8EC" w14:textId="77777777" w:rsidR="00F8792B" w:rsidRPr="00197AB5" w:rsidRDefault="00F8792B" w:rsidP="009A1FEC">
            <w:pPr>
              <w:pStyle w:val="TableParagraph"/>
              <w:spacing w:before="2"/>
              <w:rPr>
                <w:b/>
                <w:sz w:val="24"/>
              </w:rPr>
            </w:pPr>
            <w:r w:rsidRPr="00197AB5">
              <w:rPr>
                <w:b/>
                <w:sz w:val="24"/>
              </w:rPr>
              <w:t>Sharing amenities</w:t>
            </w:r>
          </w:p>
        </w:tc>
        <w:tc>
          <w:tcPr>
            <w:tcW w:w="6804" w:type="dxa"/>
          </w:tcPr>
          <w:p w14:paraId="20411C2A" w14:textId="05469D6E" w:rsidR="00F8792B" w:rsidRPr="00FC673B" w:rsidRDefault="00F8792B" w:rsidP="009A1FEC">
            <w:pPr>
              <w:pStyle w:val="TableParagraph"/>
              <w:spacing w:before="2"/>
              <w:ind w:left="110" w:right="474"/>
              <w:rPr>
                <w:sz w:val="24"/>
                <w:highlight w:val="yellow"/>
              </w:rPr>
            </w:pPr>
            <w:r>
              <w:rPr>
                <w:sz w:val="24"/>
              </w:rPr>
              <w:t>A</w:t>
            </w:r>
            <w:r w:rsidRPr="003B1C8A">
              <w:rPr>
                <w:sz w:val="24"/>
              </w:rPr>
              <w:t>warded to applicants who have to share cooking, toilet and/or bathing facilities with others who are not part of the same household</w:t>
            </w:r>
            <w:r w:rsidR="003904F8" w:rsidRPr="003B1C8A">
              <w:rPr>
                <w:sz w:val="24"/>
              </w:rPr>
              <w:t xml:space="preserve">. </w:t>
            </w:r>
          </w:p>
        </w:tc>
      </w:tr>
    </w:tbl>
    <w:p w14:paraId="1F2F024D" w14:textId="77777777" w:rsidR="00AB12C5" w:rsidRDefault="00AB12C5" w:rsidP="00AB12C5">
      <w:pPr>
        <w:pStyle w:val="ListParagraph"/>
      </w:pPr>
    </w:p>
    <w:p w14:paraId="6F1D9A9D" w14:textId="7897A4E0" w:rsidR="00C1243B" w:rsidRDefault="00AB12C5" w:rsidP="00C1243B">
      <w:pPr>
        <w:pStyle w:val="Default"/>
        <w:numPr>
          <w:ilvl w:val="2"/>
          <w:numId w:val="1"/>
        </w:numPr>
        <w:ind w:left="709" w:hanging="709"/>
      </w:pPr>
      <w:r>
        <w:t>Band 3: Medium Priorit</w:t>
      </w:r>
      <w:bookmarkStart w:id="22" w:name="9.5_Band_3:_Medium_Priority"/>
      <w:bookmarkStart w:id="23" w:name="9.5.1_Transfer_applications_(application"/>
      <w:bookmarkEnd w:id="22"/>
      <w:bookmarkEnd w:id="23"/>
      <w:r>
        <w:t>y</w:t>
      </w:r>
      <w:r w:rsidR="00C1243B">
        <w:t xml:space="preserve"> - t</w:t>
      </w:r>
      <w:r w:rsidR="00233DDD">
        <w:t>ransfer applications (applications from existing tenants of West of Scotland Housing Association to move to another property) will generally be awarded Medium Priority banding. However, transfer cases that meet the higher priority bandings criteria are placed in the relevant higher priority bands.</w:t>
      </w:r>
      <w:bookmarkStart w:id="24" w:name="9.6_Band_4:_Standard_Priority"/>
      <w:bookmarkEnd w:id="24"/>
    </w:p>
    <w:p w14:paraId="5DC1617C" w14:textId="77777777" w:rsidR="00C1243B" w:rsidRDefault="00C1243B" w:rsidP="00C1243B">
      <w:pPr>
        <w:pStyle w:val="ListParagraph"/>
        <w:rPr>
          <w:b/>
          <w:bCs/>
        </w:rPr>
      </w:pPr>
    </w:p>
    <w:p w14:paraId="690352C1" w14:textId="77777777" w:rsidR="00C1243B" w:rsidRDefault="00233DDD" w:rsidP="00C1243B">
      <w:pPr>
        <w:pStyle w:val="Default"/>
        <w:numPr>
          <w:ilvl w:val="2"/>
          <w:numId w:val="1"/>
        </w:numPr>
        <w:ind w:left="709" w:hanging="709"/>
      </w:pPr>
      <w:r w:rsidRPr="00C1243B">
        <w:rPr>
          <w:b/>
          <w:bCs/>
        </w:rPr>
        <w:t>Band 4: Standard</w:t>
      </w:r>
      <w:r w:rsidRPr="00C1243B">
        <w:rPr>
          <w:b/>
          <w:bCs/>
          <w:spacing w:val="-3"/>
        </w:rPr>
        <w:t xml:space="preserve"> </w:t>
      </w:r>
      <w:r w:rsidRPr="00C1243B">
        <w:rPr>
          <w:b/>
          <w:bCs/>
        </w:rPr>
        <w:t>Priority</w:t>
      </w:r>
      <w:bookmarkStart w:id="25" w:name="9.6.1_All_other_applicants_who_satisfy_t"/>
      <w:bookmarkEnd w:id="25"/>
      <w:r w:rsidR="00C1243B">
        <w:t xml:space="preserve"> - a</w:t>
      </w:r>
      <w:r>
        <w:t>ll other applicants who satisfy the eligibility criteria will be awarded a Standard Priority banding.</w:t>
      </w:r>
      <w:bookmarkStart w:id="26" w:name="9.7_Nominations/Statutory_Homeless_Band"/>
      <w:bookmarkEnd w:id="26"/>
    </w:p>
    <w:p w14:paraId="3F8AA30F" w14:textId="77777777" w:rsidR="00C1243B" w:rsidRDefault="00C1243B" w:rsidP="00C1243B">
      <w:pPr>
        <w:pStyle w:val="ListParagraph"/>
        <w:rPr>
          <w:b/>
          <w:bCs/>
        </w:rPr>
      </w:pPr>
    </w:p>
    <w:p w14:paraId="43A232DE" w14:textId="77777777" w:rsidR="00C1243B" w:rsidRDefault="00233DDD" w:rsidP="00C1243B">
      <w:pPr>
        <w:pStyle w:val="Default"/>
        <w:numPr>
          <w:ilvl w:val="2"/>
          <w:numId w:val="1"/>
        </w:numPr>
        <w:ind w:left="709" w:hanging="709"/>
      </w:pPr>
      <w:r w:rsidRPr="00C1243B">
        <w:rPr>
          <w:b/>
          <w:bCs/>
        </w:rPr>
        <w:t>Band 5: Nominations/Statutory Homeless</w:t>
      </w:r>
      <w:r w:rsidRPr="00C1243B">
        <w:rPr>
          <w:b/>
          <w:bCs/>
          <w:spacing w:val="-5"/>
        </w:rPr>
        <w:t xml:space="preserve"> </w:t>
      </w:r>
      <w:r w:rsidRPr="00C1243B">
        <w:rPr>
          <w:b/>
          <w:bCs/>
        </w:rPr>
        <w:t>Band</w:t>
      </w:r>
      <w:bookmarkStart w:id="27" w:name="9.7.1_Persons_nominated_or_referred_by_l"/>
      <w:bookmarkEnd w:id="27"/>
      <w:r w:rsidR="00C1243B">
        <w:t xml:space="preserve"> - p</w:t>
      </w:r>
      <w:r w:rsidRPr="00C1243B">
        <w:t>ersons nominated or referred by local authorities will be placed in this</w:t>
      </w:r>
      <w:r w:rsidRPr="00C1243B">
        <w:rPr>
          <w:spacing w:val="-24"/>
        </w:rPr>
        <w:t xml:space="preserve"> </w:t>
      </w:r>
      <w:r w:rsidRPr="00C1243B">
        <w:t>band.</w:t>
      </w:r>
      <w:bookmarkStart w:id="28" w:name="9.7.2_Designated_staff_must_ensure_that_"/>
      <w:bookmarkEnd w:id="28"/>
      <w:r w:rsidR="00C1243B">
        <w:t xml:space="preserve"> </w:t>
      </w:r>
      <w:r w:rsidRPr="00C1243B">
        <w:t>Designated staff must ensure that customers who have made an application based on</w:t>
      </w:r>
      <w:r w:rsidR="00C1243B">
        <w:t xml:space="preserve"> </w:t>
      </w:r>
      <w:r w:rsidRPr="00C1243B">
        <w:t>homelessness are guided to the appropriate local authority Homelessness Unit/Department who are responsible for assessing homeless applications.</w:t>
      </w:r>
    </w:p>
    <w:p w14:paraId="3B7617AC" w14:textId="77777777" w:rsidR="00C1243B" w:rsidRDefault="00C1243B" w:rsidP="00C1243B">
      <w:pPr>
        <w:pStyle w:val="ListParagraph"/>
      </w:pPr>
    </w:p>
    <w:p w14:paraId="04400143" w14:textId="226F24E7" w:rsidR="00C1243B" w:rsidRDefault="005C6160" w:rsidP="00C1243B">
      <w:pPr>
        <w:pStyle w:val="Default"/>
        <w:numPr>
          <w:ilvl w:val="2"/>
          <w:numId w:val="1"/>
        </w:numPr>
        <w:ind w:left="851" w:hanging="851"/>
      </w:pPr>
      <w:r>
        <w:t>Priority will be given to applicants who have a</w:t>
      </w:r>
      <w:r w:rsidR="00F5797F">
        <w:t xml:space="preserve"> relevant</w:t>
      </w:r>
      <w:r>
        <w:t xml:space="preserve"> medical need when allocating the following types of properties:</w:t>
      </w:r>
    </w:p>
    <w:p w14:paraId="267D242F" w14:textId="29E1E56F" w:rsidR="00C1243B" w:rsidRDefault="00C1243B" w:rsidP="00C1243B">
      <w:pPr>
        <w:pStyle w:val="ListParagraph"/>
      </w:pPr>
    </w:p>
    <w:p w14:paraId="0F2C258C" w14:textId="77777777" w:rsidR="00C1243B" w:rsidRDefault="00C1243B" w:rsidP="00C1243B">
      <w:pPr>
        <w:pStyle w:val="Default"/>
        <w:numPr>
          <w:ilvl w:val="0"/>
          <w:numId w:val="40"/>
        </w:numPr>
      </w:pPr>
      <w:r>
        <w:t>ground floor properties;</w:t>
      </w:r>
    </w:p>
    <w:p w14:paraId="241AF025" w14:textId="77777777" w:rsidR="00C1243B" w:rsidRDefault="00C1243B" w:rsidP="00C1243B">
      <w:pPr>
        <w:pStyle w:val="Default"/>
        <w:numPr>
          <w:ilvl w:val="0"/>
          <w:numId w:val="40"/>
        </w:numPr>
      </w:pPr>
      <w:r>
        <w:t>lift accessible properties which are all on the one level;</w:t>
      </w:r>
    </w:p>
    <w:p w14:paraId="09027310" w14:textId="77777777" w:rsidR="00C1243B" w:rsidRDefault="00C1243B" w:rsidP="00C1243B">
      <w:pPr>
        <w:pStyle w:val="Default"/>
        <w:numPr>
          <w:ilvl w:val="0"/>
          <w:numId w:val="40"/>
        </w:numPr>
      </w:pPr>
      <w:r>
        <w:t>properties which have been substantially adapted; and</w:t>
      </w:r>
    </w:p>
    <w:p w14:paraId="5A2B9C4E" w14:textId="46B2C871" w:rsidR="00C1243B" w:rsidRDefault="00C1243B" w:rsidP="00C1243B">
      <w:pPr>
        <w:pStyle w:val="Default"/>
        <w:numPr>
          <w:ilvl w:val="0"/>
          <w:numId w:val="40"/>
        </w:numPr>
      </w:pPr>
      <w:r>
        <w:t>properties with wet rooms/level access showers.</w:t>
      </w:r>
    </w:p>
    <w:p w14:paraId="796A7373" w14:textId="77777777" w:rsidR="00C1243B" w:rsidRDefault="00C1243B" w:rsidP="00C1243B">
      <w:pPr>
        <w:pStyle w:val="ListParagraph"/>
      </w:pPr>
    </w:p>
    <w:p w14:paraId="4610DE43" w14:textId="7C145419" w:rsidR="00F8792B" w:rsidRDefault="005C6160" w:rsidP="00F8792B">
      <w:pPr>
        <w:pStyle w:val="Default"/>
        <w:numPr>
          <w:ilvl w:val="2"/>
          <w:numId w:val="1"/>
        </w:numPr>
        <w:ind w:left="851" w:hanging="851"/>
      </w:pPr>
      <w:r>
        <w:t>If an applicant is allocated a property that has been adapted for their health needs and their medical condition deteriorates after moving in</w:t>
      </w:r>
      <w:r w:rsidR="00F5797F">
        <w:t xml:space="preserve">, </w:t>
      </w:r>
      <w:r>
        <w:t xml:space="preserve">to the extent that they now need a wheelchair and are in unsuitable housing, the tenant should be offered the opportunity to transfer to more suitable </w:t>
      </w:r>
      <w:r w:rsidR="00BA2EF9">
        <w:t>housing and</w:t>
      </w:r>
      <w:r>
        <w:t xml:space="preserve"> given an urgent medical priority.</w:t>
      </w:r>
    </w:p>
    <w:p w14:paraId="73242413" w14:textId="77777777" w:rsidR="00F8792B" w:rsidRDefault="00F8792B" w:rsidP="00F8792B">
      <w:pPr>
        <w:pStyle w:val="Default"/>
        <w:ind w:left="851"/>
      </w:pPr>
    </w:p>
    <w:p w14:paraId="0C551311" w14:textId="36C92E98" w:rsidR="00F8792B" w:rsidRDefault="005C6160" w:rsidP="00F8792B">
      <w:pPr>
        <w:pStyle w:val="Default"/>
        <w:numPr>
          <w:ilvl w:val="1"/>
          <w:numId w:val="1"/>
        </w:numPr>
        <w:ind w:left="709" w:hanging="709"/>
      </w:pPr>
      <w:bookmarkStart w:id="29" w:name="Respondingtoapplicants"/>
      <w:r>
        <w:t>Responding to applica</w:t>
      </w:r>
      <w:r w:rsidR="00F8792B">
        <w:t>nts</w:t>
      </w:r>
    </w:p>
    <w:bookmarkEnd w:id="29"/>
    <w:p w14:paraId="5F0D58A1" w14:textId="77777777" w:rsidR="00F8792B" w:rsidRDefault="00F8792B" w:rsidP="00F8792B">
      <w:pPr>
        <w:pStyle w:val="Default"/>
        <w:ind w:left="709"/>
      </w:pPr>
    </w:p>
    <w:p w14:paraId="11663F0D" w14:textId="24FC50E6" w:rsidR="00F8792B" w:rsidRDefault="005C6160" w:rsidP="00F8792B">
      <w:pPr>
        <w:pStyle w:val="Default"/>
        <w:numPr>
          <w:ilvl w:val="2"/>
          <w:numId w:val="1"/>
        </w:numPr>
        <w:ind w:left="709" w:hanging="709"/>
      </w:pPr>
      <w:r>
        <w:t>West of Scotland will aim to respond to all applicants who have submitted a completed application direct within 15 working days of receipt of application advising them of the outcome of their application and whether or not any additional information in support of the application is required.</w:t>
      </w:r>
    </w:p>
    <w:p w14:paraId="7EB8503B" w14:textId="77777777" w:rsidR="00F5797F" w:rsidRDefault="00F5797F" w:rsidP="00F5797F">
      <w:pPr>
        <w:pStyle w:val="Default"/>
        <w:ind w:left="709"/>
      </w:pPr>
    </w:p>
    <w:p w14:paraId="78B64B4E" w14:textId="0473F3F7" w:rsidR="00F8792B" w:rsidRDefault="005C6160" w:rsidP="00F8792B">
      <w:pPr>
        <w:pStyle w:val="Default"/>
        <w:numPr>
          <w:ilvl w:val="2"/>
          <w:numId w:val="1"/>
        </w:numPr>
        <w:ind w:left="709" w:hanging="709"/>
      </w:pPr>
      <w:r>
        <w:t>Applicants will be advised of the likely availability of housing that suits their needs and an indication of timescales will be provided if possible. Those who are asked for further supporting information will be given 15 working days to provide it. West of Scotland reserves the right not to process the application if the necessary information is not provided, or if no suitable response is received within that timescale.</w:t>
      </w:r>
    </w:p>
    <w:p w14:paraId="6F62EB52" w14:textId="77777777" w:rsidR="00F8792B" w:rsidRDefault="00F8792B" w:rsidP="00F8792B">
      <w:pPr>
        <w:pStyle w:val="Default"/>
        <w:ind w:left="709"/>
      </w:pPr>
    </w:p>
    <w:p w14:paraId="2E71FC60" w14:textId="77777777" w:rsidR="00F8792B" w:rsidRDefault="005C6160" w:rsidP="00F8792B">
      <w:pPr>
        <w:pStyle w:val="Default"/>
        <w:numPr>
          <w:ilvl w:val="2"/>
          <w:numId w:val="1"/>
        </w:numPr>
        <w:ind w:left="709" w:hanging="709"/>
      </w:pPr>
      <w:r>
        <w:t>Timescales for inputting and assessing CHR applications are set by the managing organisations.</w:t>
      </w:r>
    </w:p>
    <w:p w14:paraId="65EBB215" w14:textId="77777777" w:rsidR="00F8792B" w:rsidRDefault="00F8792B" w:rsidP="00F8792B">
      <w:pPr>
        <w:pStyle w:val="ListParagraph"/>
      </w:pPr>
    </w:p>
    <w:p w14:paraId="6161E0CC" w14:textId="02F9E5A7" w:rsidR="00F8792B" w:rsidRDefault="005C6160" w:rsidP="00F8792B">
      <w:pPr>
        <w:pStyle w:val="Default"/>
        <w:numPr>
          <w:ilvl w:val="1"/>
          <w:numId w:val="1"/>
        </w:numPr>
        <w:ind w:left="709" w:hanging="709"/>
      </w:pPr>
      <w:bookmarkStart w:id="30" w:name="Makingreceivingacceptingandrefusinganoff"/>
      <w:r>
        <w:t>Making, receiving, accepting and refusing an offer of housing</w:t>
      </w:r>
    </w:p>
    <w:bookmarkEnd w:id="30"/>
    <w:p w14:paraId="47EBEE97" w14:textId="77777777" w:rsidR="00F8792B" w:rsidRDefault="00F8792B" w:rsidP="00F8792B">
      <w:pPr>
        <w:pStyle w:val="Default"/>
        <w:ind w:left="709"/>
      </w:pPr>
    </w:p>
    <w:p w14:paraId="616AF5E6" w14:textId="3395C813" w:rsidR="00F8792B" w:rsidRDefault="005C6160" w:rsidP="00F8792B">
      <w:pPr>
        <w:pStyle w:val="Default"/>
        <w:numPr>
          <w:ilvl w:val="2"/>
          <w:numId w:val="1"/>
        </w:numPr>
        <w:ind w:left="709" w:hanging="709"/>
      </w:pPr>
      <w:r>
        <w:t xml:space="preserve">All applicants who apply for housing will be shortlisted based on the priority criteria given </w:t>
      </w:r>
      <w:r w:rsidR="00554F15">
        <w:t>in the Banding System</w:t>
      </w:r>
      <w:r>
        <w:t xml:space="preserve"> set out in this policy and additional guidance documents. Applicants at the top of the shortlist will then be considered for a property if they are eligible (for example, they meet the criteria in the Allocations Policy), they meet the household size for the property, and are not subject to a suspension.</w:t>
      </w:r>
    </w:p>
    <w:p w14:paraId="42B76123" w14:textId="77777777" w:rsidR="00F8792B" w:rsidRDefault="00F8792B" w:rsidP="00F8792B">
      <w:pPr>
        <w:pStyle w:val="Default"/>
        <w:ind w:left="709"/>
      </w:pPr>
    </w:p>
    <w:p w14:paraId="40C79A1D" w14:textId="1D94E809" w:rsidR="00F8792B" w:rsidRDefault="005C6160" w:rsidP="00F8792B">
      <w:pPr>
        <w:pStyle w:val="Default"/>
        <w:numPr>
          <w:ilvl w:val="2"/>
          <w:numId w:val="1"/>
        </w:numPr>
        <w:ind w:left="709" w:hanging="709"/>
      </w:pPr>
      <w:r>
        <w:t xml:space="preserve">If we have a justified </w:t>
      </w:r>
      <w:r w:rsidR="00554F15">
        <w:t>reason,</w:t>
      </w:r>
      <w:r>
        <w:t xml:space="preserve"> we may not make an offer to an applicant who might otherwise have received an offer and they will be bypassed. This could happen, for example, if we know the property does not meet the applicant</w:t>
      </w:r>
      <w:r w:rsidR="00554F15">
        <w:t>’</w:t>
      </w:r>
      <w:r>
        <w:t>s needs or the applicant has previously advised they do not wish to be considered. Any bypass needs to be reviewed and approved by the Team Leader or other manager of at least equivalent seniority.</w:t>
      </w:r>
    </w:p>
    <w:p w14:paraId="4470219A" w14:textId="77777777" w:rsidR="00F8792B" w:rsidRDefault="00F8792B" w:rsidP="00F8792B">
      <w:pPr>
        <w:pStyle w:val="ListParagraph"/>
      </w:pPr>
    </w:p>
    <w:p w14:paraId="4C0426F0" w14:textId="77777777" w:rsidR="00F8792B" w:rsidRDefault="005C6160" w:rsidP="00F8792B">
      <w:pPr>
        <w:pStyle w:val="Default"/>
        <w:numPr>
          <w:ilvl w:val="2"/>
          <w:numId w:val="1"/>
        </w:numPr>
        <w:ind w:left="709" w:hanging="709"/>
      </w:pPr>
      <w:r>
        <w:t>Reasonable offers</w:t>
      </w:r>
      <w:r w:rsidR="00F8792B">
        <w:t xml:space="preserve"> - a</w:t>
      </w:r>
      <w:r>
        <w:t xml:space="preserve"> reasonable offer is defined as an offer for a property which based on the application information and preferences, will meet the applicant’s housing need. When determining whether an offer is reasonable, West of Scotland will also take into account:</w:t>
      </w:r>
    </w:p>
    <w:p w14:paraId="5656A5D8" w14:textId="4186FE7C" w:rsidR="00F8792B" w:rsidRDefault="00F8792B" w:rsidP="00F8792B">
      <w:pPr>
        <w:pStyle w:val="ListParagraph"/>
      </w:pPr>
    </w:p>
    <w:p w14:paraId="1D42A8EF" w14:textId="77777777" w:rsidR="00F8792B" w:rsidRDefault="00F8792B" w:rsidP="00F8792B">
      <w:pPr>
        <w:pStyle w:val="Default"/>
        <w:numPr>
          <w:ilvl w:val="0"/>
          <w:numId w:val="41"/>
        </w:numPr>
      </w:pPr>
      <w:r>
        <w:t>stock availability and demand;</w:t>
      </w:r>
    </w:p>
    <w:p w14:paraId="64988BFD" w14:textId="77777777" w:rsidR="00F8792B" w:rsidRDefault="00F8792B" w:rsidP="00F8792B">
      <w:pPr>
        <w:pStyle w:val="Default"/>
        <w:numPr>
          <w:ilvl w:val="0"/>
          <w:numId w:val="41"/>
        </w:numPr>
      </w:pPr>
      <w:r>
        <w:t>legislative requirements;</w:t>
      </w:r>
    </w:p>
    <w:p w14:paraId="28723FF4" w14:textId="77777777" w:rsidR="00E23BB6" w:rsidRDefault="00F8792B" w:rsidP="00E23BB6">
      <w:pPr>
        <w:pStyle w:val="Default"/>
        <w:numPr>
          <w:ilvl w:val="0"/>
          <w:numId w:val="41"/>
        </w:numPr>
      </w:pPr>
      <w:r>
        <w:lastRenderedPageBreak/>
        <w:t>based on the reason for the refusal and the information provided about the property, was it reasonable that the applicant should have recognised the property was unsuitable before accepting an offer; and</w:t>
      </w:r>
    </w:p>
    <w:p w14:paraId="72DDC13F" w14:textId="4390718A" w:rsidR="00F8792B" w:rsidRDefault="00554F15" w:rsidP="00E23BB6">
      <w:pPr>
        <w:pStyle w:val="Default"/>
        <w:numPr>
          <w:ilvl w:val="0"/>
          <w:numId w:val="41"/>
        </w:numPr>
      </w:pPr>
      <w:r>
        <w:t>if</w:t>
      </w:r>
      <w:r w:rsidR="00F8792B">
        <w:t xml:space="preserve"> there been any change in the applicant’s circumstances.</w:t>
      </w:r>
    </w:p>
    <w:p w14:paraId="2C326A24" w14:textId="77777777" w:rsidR="00F8792B" w:rsidRDefault="00F8792B" w:rsidP="00F8792B">
      <w:pPr>
        <w:pStyle w:val="ListParagraph"/>
      </w:pPr>
    </w:p>
    <w:p w14:paraId="325C5688" w14:textId="46880123" w:rsidR="00F8792B" w:rsidRDefault="005C6160" w:rsidP="00F8792B">
      <w:pPr>
        <w:pStyle w:val="Default"/>
        <w:numPr>
          <w:ilvl w:val="2"/>
          <w:numId w:val="1"/>
        </w:numPr>
        <w:ind w:left="709" w:hanging="709"/>
      </w:pPr>
      <w:r>
        <w:t xml:space="preserve">Applicants will be given up to three working days from the date of an offer to respond either by refusing the offer, or by </w:t>
      </w:r>
      <w:r w:rsidR="003904F8">
        <w:t>arranging</w:t>
      </w:r>
      <w:r>
        <w:t xml:space="preserve"> to view the property. Failure to do so will result in the offer being withdrawn by West of Scotland and recorded as a refusal.</w:t>
      </w:r>
    </w:p>
    <w:p w14:paraId="1B7062B2" w14:textId="77777777" w:rsidR="00F8792B" w:rsidRDefault="00F8792B" w:rsidP="00F8792B">
      <w:pPr>
        <w:pStyle w:val="ListParagraph"/>
      </w:pPr>
    </w:p>
    <w:p w14:paraId="5980DD27" w14:textId="77777777" w:rsidR="00E23BB6" w:rsidRDefault="005C6160" w:rsidP="00E23BB6">
      <w:pPr>
        <w:pStyle w:val="Default"/>
        <w:numPr>
          <w:ilvl w:val="2"/>
          <w:numId w:val="1"/>
        </w:numPr>
        <w:ind w:left="709" w:hanging="709"/>
      </w:pPr>
      <w:r>
        <w:t>An applicant must normally accept an offer and sign the Tenancy Agreement on the same day although this may be extended in special circumstances by a further working day.</w:t>
      </w:r>
    </w:p>
    <w:p w14:paraId="3FB1190E" w14:textId="77777777" w:rsidR="00E23BB6" w:rsidRDefault="00E23BB6" w:rsidP="00E23BB6">
      <w:pPr>
        <w:pStyle w:val="ListParagraph"/>
      </w:pPr>
    </w:p>
    <w:p w14:paraId="57CAD0B3" w14:textId="4BB58C80" w:rsidR="00E23BB6" w:rsidRDefault="005C6160" w:rsidP="00E23BB6">
      <w:pPr>
        <w:pStyle w:val="Default"/>
        <w:numPr>
          <w:ilvl w:val="1"/>
          <w:numId w:val="1"/>
        </w:numPr>
        <w:ind w:left="709" w:hanging="709"/>
      </w:pPr>
      <w:bookmarkStart w:id="31" w:name="Confirmationofcircumstances"/>
      <w:r>
        <w:t>Confirmation of circumstance</w:t>
      </w:r>
      <w:r w:rsidR="00A26CB0">
        <w:t>s</w:t>
      </w:r>
    </w:p>
    <w:bookmarkEnd w:id="31"/>
    <w:p w14:paraId="4D044DD9" w14:textId="77777777" w:rsidR="00554F15" w:rsidRDefault="00554F15" w:rsidP="00554F15">
      <w:pPr>
        <w:pStyle w:val="Default"/>
        <w:ind w:left="709"/>
      </w:pPr>
    </w:p>
    <w:p w14:paraId="07F0B860" w14:textId="61524EFA" w:rsidR="00E23BB6" w:rsidRDefault="005C6160" w:rsidP="00E23BB6">
      <w:pPr>
        <w:pStyle w:val="Default"/>
        <w:numPr>
          <w:ilvl w:val="2"/>
          <w:numId w:val="1"/>
        </w:numPr>
        <w:ind w:left="709" w:hanging="709"/>
      </w:pPr>
      <w:r>
        <w:t xml:space="preserve">The onus of proof of circumstances lies with the applicant in most </w:t>
      </w:r>
      <w:r w:rsidR="00554F15">
        <w:t>cases</w:t>
      </w:r>
      <w:r>
        <w:t>.</w:t>
      </w:r>
    </w:p>
    <w:p w14:paraId="36163878" w14:textId="77777777" w:rsidR="00E23BB6" w:rsidRDefault="00E23BB6" w:rsidP="00E23BB6">
      <w:pPr>
        <w:pStyle w:val="Default"/>
        <w:ind w:left="709"/>
      </w:pPr>
    </w:p>
    <w:p w14:paraId="265CA25C" w14:textId="77777777" w:rsidR="00E23BB6" w:rsidRDefault="005C6160" w:rsidP="00E23BB6">
      <w:pPr>
        <w:pStyle w:val="Default"/>
        <w:numPr>
          <w:ilvl w:val="2"/>
          <w:numId w:val="1"/>
        </w:numPr>
        <w:ind w:left="709" w:hanging="709"/>
      </w:pPr>
      <w:r>
        <w:t xml:space="preserve">Applicants unable to provide adequate evidence as to their housing needs or circumstances will have their application cancelled. Verification of domestic abuse or harassment from other agencies is not a condition required for an applicant to be given the appropriate priority. </w:t>
      </w:r>
    </w:p>
    <w:p w14:paraId="4ACD7877" w14:textId="77777777" w:rsidR="00E23BB6" w:rsidRDefault="00E23BB6" w:rsidP="00E23BB6">
      <w:pPr>
        <w:pStyle w:val="ListParagraph"/>
      </w:pPr>
    </w:p>
    <w:p w14:paraId="35890640" w14:textId="77777777" w:rsidR="00E23BB6" w:rsidRDefault="005C6160" w:rsidP="00E23BB6">
      <w:pPr>
        <w:pStyle w:val="Default"/>
        <w:numPr>
          <w:ilvl w:val="2"/>
          <w:numId w:val="1"/>
        </w:numPr>
        <w:ind w:left="709" w:hanging="709"/>
      </w:pPr>
      <w:r>
        <w:t>Responsibility for notifying changes of address and other changes of circumstances lies with the applicant. Failure to notify changes may materially affect the banding priority the applicant is awarded.</w:t>
      </w:r>
    </w:p>
    <w:p w14:paraId="64C19B57" w14:textId="77777777" w:rsidR="00E23BB6" w:rsidRDefault="00E23BB6" w:rsidP="00E23BB6">
      <w:pPr>
        <w:pStyle w:val="ListParagraph"/>
      </w:pPr>
    </w:p>
    <w:p w14:paraId="22A2D5FC" w14:textId="5BF7F5FE" w:rsidR="00E23BB6" w:rsidRDefault="005C6160" w:rsidP="00E23BB6">
      <w:pPr>
        <w:pStyle w:val="Default"/>
        <w:numPr>
          <w:ilvl w:val="1"/>
          <w:numId w:val="1"/>
        </w:numPr>
        <w:ind w:left="709" w:hanging="709"/>
      </w:pPr>
      <w:bookmarkStart w:id="32" w:name="Reviewofapplications"/>
      <w:r>
        <w:t>Review of application</w:t>
      </w:r>
      <w:r w:rsidR="00E23BB6">
        <w:t>s</w:t>
      </w:r>
    </w:p>
    <w:bookmarkEnd w:id="32"/>
    <w:p w14:paraId="52A4FC1F" w14:textId="77777777" w:rsidR="00E23BB6" w:rsidRDefault="00E23BB6" w:rsidP="00E23BB6">
      <w:pPr>
        <w:pStyle w:val="Default"/>
        <w:ind w:left="709"/>
      </w:pPr>
    </w:p>
    <w:p w14:paraId="49E16B83" w14:textId="6E879F34" w:rsidR="00E23BB6" w:rsidRDefault="005C6160" w:rsidP="00E23BB6">
      <w:pPr>
        <w:pStyle w:val="Default"/>
        <w:numPr>
          <w:ilvl w:val="2"/>
          <w:numId w:val="1"/>
        </w:numPr>
        <w:ind w:left="709" w:hanging="709"/>
      </w:pPr>
      <w:r>
        <w:t xml:space="preserve">A review of direct applications will be carried out of all those on </w:t>
      </w:r>
      <w:r w:rsidR="00554F15">
        <w:t>the West</w:t>
      </w:r>
      <w:r>
        <w:t xml:space="preserve"> of Scotland housing list on at least an annual basis. CHR applications will also be reviewed at least once a year</w:t>
      </w:r>
      <w:r w:rsidR="00554F15">
        <w:t xml:space="preserve"> unless determined otherwise by the managing authority.</w:t>
      </w:r>
    </w:p>
    <w:p w14:paraId="09987D14" w14:textId="77777777" w:rsidR="00E23BB6" w:rsidRDefault="00E23BB6" w:rsidP="00E23BB6">
      <w:pPr>
        <w:pStyle w:val="Default"/>
        <w:ind w:left="709"/>
      </w:pPr>
    </w:p>
    <w:p w14:paraId="2C5D1B8A" w14:textId="0C83FE0C" w:rsidR="00E23BB6" w:rsidRDefault="005C6160" w:rsidP="00E23BB6">
      <w:pPr>
        <w:pStyle w:val="Default"/>
        <w:numPr>
          <w:ilvl w:val="2"/>
          <w:numId w:val="1"/>
        </w:numPr>
        <w:ind w:left="709" w:hanging="709"/>
      </w:pPr>
      <w:r>
        <w:t xml:space="preserve">Applicants will be required to respond to a letter within </w:t>
      </w:r>
      <w:r w:rsidR="00554F15">
        <w:t>14</w:t>
      </w:r>
      <w:r>
        <w:t xml:space="preserve"> calendar days of </w:t>
      </w:r>
      <w:r w:rsidR="00554F15">
        <w:t xml:space="preserve">issue </w:t>
      </w:r>
      <w:r>
        <w:t xml:space="preserve">stating whether they still wish to be considered for </w:t>
      </w:r>
      <w:r w:rsidR="00CB3264">
        <w:t>housing and</w:t>
      </w:r>
      <w:r>
        <w:t xml:space="preserve"> listing any changes in circumstances. Failure to do so will result in the applicant being removed from the list. Removal from the list will be confirmed in writing to the applicant. If an applicant contacts West of Scotland within one month of being removed from the list, giving good reasons for not responding, they will be reinstated.</w:t>
      </w:r>
    </w:p>
    <w:p w14:paraId="0AF649A3" w14:textId="77777777" w:rsidR="00E23BB6" w:rsidRDefault="00E23BB6" w:rsidP="00E23BB6">
      <w:pPr>
        <w:pStyle w:val="ListParagraph"/>
      </w:pPr>
    </w:p>
    <w:p w14:paraId="380B2632" w14:textId="331A51B7" w:rsidR="00E23BB6" w:rsidRDefault="005C6160" w:rsidP="00E23BB6">
      <w:pPr>
        <w:pStyle w:val="Default"/>
        <w:numPr>
          <w:ilvl w:val="2"/>
          <w:numId w:val="1"/>
        </w:numPr>
        <w:ind w:left="709" w:hanging="709"/>
      </w:pPr>
      <w:r>
        <w:t xml:space="preserve">Removed applicants contacting us after the </w:t>
      </w:r>
      <w:r w:rsidR="00D7509E">
        <w:t>14</w:t>
      </w:r>
      <w:r>
        <w:t xml:space="preserve"> calendar day deadline with no good reasons for not responding, must reapply by completing a new application form. This will be regarded as the new date of </w:t>
      </w:r>
      <w:r w:rsidR="003904F8">
        <w:t>application unless</w:t>
      </w:r>
      <w:r>
        <w:t xml:space="preserve"> the Housing Manager considers there to be mitigating circumstances.</w:t>
      </w:r>
    </w:p>
    <w:p w14:paraId="1EC523D5" w14:textId="77777777" w:rsidR="00E23BB6" w:rsidRDefault="00E23BB6" w:rsidP="00E23BB6">
      <w:pPr>
        <w:pStyle w:val="ListParagraph"/>
      </w:pPr>
    </w:p>
    <w:p w14:paraId="0B87803D" w14:textId="77777777" w:rsidR="00E23BB6" w:rsidRDefault="005C6160" w:rsidP="00E23BB6">
      <w:pPr>
        <w:pStyle w:val="Default"/>
        <w:numPr>
          <w:ilvl w:val="2"/>
          <w:numId w:val="1"/>
        </w:numPr>
        <w:ind w:left="709" w:hanging="709"/>
      </w:pPr>
      <w:r>
        <w:lastRenderedPageBreak/>
        <w:t>The review will only be required for applicants with whom there has been no contact in the previous year.</w:t>
      </w:r>
    </w:p>
    <w:p w14:paraId="684F67BE" w14:textId="77777777" w:rsidR="00E23BB6" w:rsidRDefault="00E23BB6" w:rsidP="00E23BB6">
      <w:pPr>
        <w:pStyle w:val="ListParagraph"/>
      </w:pPr>
    </w:p>
    <w:p w14:paraId="440D77AF" w14:textId="69B5EE99" w:rsidR="00E23BB6" w:rsidRDefault="005C6160" w:rsidP="00E23BB6">
      <w:pPr>
        <w:pStyle w:val="Default"/>
        <w:numPr>
          <w:ilvl w:val="2"/>
          <w:numId w:val="1"/>
        </w:numPr>
        <w:ind w:left="709" w:hanging="709"/>
      </w:pPr>
      <w:r>
        <w:t>Tenancy References</w:t>
      </w:r>
      <w:r w:rsidR="00E23BB6">
        <w:t xml:space="preserve"> - w</w:t>
      </w:r>
      <w:r>
        <w:t>ith the applicant’s consent, West of Scotland will seek references from an applicant’s current and</w:t>
      </w:r>
      <w:r w:rsidR="00D7509E">
        <w:t>/or</w:t>
      </w:r>
      <w:r>
        <w:t xml:space="preserve"> former landlord for tenancies that have ended within three years or less from the date an applicant is considered for a property.</w:t>
      </w:r>
    </w:p>
    <w:p w14:paraId="53B5608C" w14:textId="77777777" w:rsidR="00E23BB6" w:rsidRDefault="00E23BB6" w:rsidP="00E23BB6">
      <w:pPr>
        <w:pStyle w:val="ListParagraph"/>
      </w:pPr>
    </w:p>
    <w:p w14:paraId="420B2F7D" w14:textId="4229AC85" w:rsidR="00E23BB6" w:rsidRDefault="005C6160" w:rsidP="00E23BB6">
      <w:pPr>
        <w:pStyle w:val="Default"/>
        <w:numPr>
          <w:ilvl w:val="1"/>
          <w:numId w:val="1"/>
        </w:numPr>
        <w:ind w:left="709" w:hanging="709"/>
      </w:pPr>
      <w:bookmarkStart w:id="33" w:name="Changeofcircumstances"/>
      <w:r>
        <w:t>Change of circumstances</w:t>
      </w:r>
    </w:p>
    <w:bookmarkEnd w:id="33"/>
    <w:p w14:paraId="53CC498D" w14:textId="77777777" w:rsidR="00E23BB6" w:rsidRDefault="00E23BB6" w:rsidP="00E23BB6">
      <w:pPr>
        <w:pStyle w:val="Default"/>
        <w:ind w:left="709"/>
      </w:pPr>
    </w:p>
    <w:p w14:paraId="4E6A2B1B" w14:textId="5A048C10" w:rsidR="00E23BB6" w:rsidRDefault="005C6160" w:rsidP="00E23BB6">
      <w:pPr>
        <w:pStyle w:val="Default"/>
        <w:numPr>
          <w:ilvl w:val="2"/>
          <w:numId w:val="1"/>
        </w:numPr>
        <w:ind w:left="709" w:hanging="709"/>
      </w:pPr>
      <w:r>
        <w:t>When there is a change in circumstances, this may have an impact on the applicant’s priority for housing.</w:t>
      </w:r>
    </w:p>
    <w:p w14:paraId="7B7E392C" w14:textId="77777777" w:rsidR="00E23BB6" w:rsidRDefault="00E23BB6" w:rsidP="00E23BB6">
      <w:pPr>
        <w:pStyle w:val="Default"/>
        <w:ind w:left="709"/>
      </w:pPr>
    </w:p>
    <w:p w14:paraId="489D0BCC" w14:textId="77777777" w:rsidR="00E23BB6" w:rsidRDefault="005C6160" w:rsidP="00E23BB6">
      <w:pPr>
        <w:pStyle w:val="Default"/>
        <w:numPr>
          <w:ilvl w:val="2"/>
          <w:numId w:val="1"/>
        </w:numPr>
        <w:ind w:left="709" w:hanging="709"/>
      </w:pPr>
      <w:r>
        <w:t>For a direct applicant who has a change of circumstances which means they will move up a band, the applicant’s band date will be the date of the change in circumstances.</w:t>
      </w:r>
    </w:p>
    <w:p w14:paraId="4BDA6507" w14:textId="77777777" w:rsidR="00E23BB6" w:rsidRDefault="00E23BB6" w:rsidP="00E23BB6">
      <w:pPr>
        <w:pStyle w:val="ListParagraph"/>
      </w:pPr>
    </w:p>
    <w:p w14:paraId="05DD7B44" w14:textId="77777777" w:rsidR="00E23BB6" w:rsidRDefault="005C6160" w:rsidP="00E23BB6">
      <w:pPr>
        <w:pStyle w:val="Default"/>
        <w:numPr>
          <w:ilvl w:val="2"/>
          <w:numId w:val="1"/>
        </w:numPr>
        <w:ind w:left="709" w:hanging="709"/>
      </w:pPr>
      <w:r>
        <w:t>Where an applicant has been rehoused and wants to continue their application, West of Scotland will normally re-assess their application and their band date will be the date of this re-assessment.</w:t>
      </w:r>
    </w:p>
    <w:p w14:paraId="1CCE81B9" w14:textId="77777777" w:rsidR="00E23BB6" w:rsidRDefault="00E23BB6" w:rsidP="00E23BB6">
      <w:pPr>
        <w:pStyle w:val="ListParagraph"/>
      </w:pPr>
    </w:p>
    <w:p w14:paraId="6E1CD4A2" w14:textId="77777777" w:rsidR="00E23BB6" w:rsidRDefault="005C6160" w:rsidP="00E23BB6">
      <w:pPr>
        <w:pStyle w:val="Default"/>
        <w:numPr>
          <w:ilvl w:val="2"/>
          <w:numId w:val="1"/>
        </w:numPr>
        <w:ind w:left="709" w:hanging="709"/>
      </w:pPr>
      <w:r>
        <w:t>Where there is a change in circumstances for an applicant which means that the applicant remains at their current address but will move down a band, the applicant will normally get to keep their original band date.</w:t>
      </w:r>
    </w:p>
    <w:p w14:paraId="63164A87" w14:textId="77777777" w:rsidR="00E23BB6" w:rsidRDefault="00E23BB6" w:rsidP="00E23BB6">
      <w:pPr>
        <w:pStyle w:val="ListParagraph"/>
      </w:pPr>
    </w:p>
    <w:p w14:paraId="7B678E28" w14:textId="4EC58CB7" w:rsidR="00E23BB6" w:rsidRDefault="005C6160" w:rsidP="00E23BB6">
      <w:pPr>
        <w:pStyle w:val="Default"/>
        <w:numPr>
          <w:ilvl w:val="1"/>
          <w:numId w:val="1"/>
        </w:numPr>
        <w:ind w:left="709" w:hanging="709"/>
      </w:pPr>
      <w:bookmarkStart w:id="34" w:name="Cancellationofapplications"/>
      <w:r>
        <w:t>Cancellation of applications</w:t>
      </w:r>
    </w:p>
    <w:bookmarkEnd w:id="34"/>
    <w:p w14:paraId="0BB42FCF" w14:textId="77777777" w:rsidR="00E23BB6" w:rsidRDefault="00E23BB6" w:rsidP="00E23BB6">
      <w:pPr>
        <w:pStyle w:val="Default"/>
        <w:ind w:left="709"/>
      </w:pPr>
    </w:p>
    <w:p w14:paraId="35C6EB7A" w14:textId="2B446823" w:rsidR="00E23BB6" w:rsidRDefault="005C6160" w:rsidP="00E23BB6">
      <w:pPr>
        <w:pStyle w:val="Default"/>
        <w:numPr>
          <w:ilvl w:val="2"/>
          <w:numId w:val="1"/>
        </w:numPr>
        <w:ind w:left="709" w:hanging="709"/>
      </w:pPr>
      <w:r>
        <w:t>There are a very limited number of circumstances where an application may be removed from the housing list. These are:</w:t>
      </w:r>
    </w:p>
    <w:p w14:paraId="7A5BBEC2" w14:textId="2CB21396" w:rsidR="00E23BB6" w:rsidRDefault="00E23BB6" w:rsidP="00E23BB6">
      <w:pPr>
        <w:pStyle w:val="Default"/>
        <w:ind w:left="709"/>
      </w:pPr>
    </w:p>
    <w:p w14:paraId="644B6D7A" w14:textId="77777777" w:rsidR="00E23BB6" w:rsidRDefault="00E23BB6" w:rsidP="00E23BB6">
      <w:pPr>
        <w:pStyle w:val="Default"/>
        <w:numPr>
          <w:ilvl w:val="0"/>
          <w:numId w:val="42"/>
        </w:numPr>
      </w:pPr>
      <w:r>
        <w:t>the applicant asks us to cancel their application;</w:t>
      </w:r>
    </w:p>
    <w:p w14:paraId="4511ADD3" w14:textId="77777777" w:rsidR="00E23BB6" w:rsidRDefault="00E23BB6" w:rsidP="00E23BB6">
      <w:pPr>
        <w:pStyle w:val="Default"/>
        <w:numPr>
          <w:ilvl w:val="0"/>
          <w:numId w:val="42"/>
        </w:numPr>
      </w:pPr>
      <w:r>
        <w:t>the death of an applicant; or</w:t>
      </w:r>
    </w:p>
    <w:p w14:paraId="46A625C0" w14:textId="038F46A4" w:rsidR="00E23BB6" w:rsidRDefault="00E23BB6" w:rsidP="00E23BB6">
      <w:pPr>
        <w:pStyle w:val="Default"/>
        <w:numPr>
          <w:ilvl w:val="0"/>
          <w:numId w:val="42"/>
        </w:numPr>
      </w:pPr>
      <w:r>
        <w:t>the applicant fails to respond to a review of the list or to other correspondence.</w:t>
      </w:r>
    </w:p>
    <w:p w14:paraId="665AC319" w14:textId="77777777" w:rsidR="00E23BB6" w:rsidRDefault="00E23BB6" w:rsidP="00E23BB6">
      <w:pPr>
        <w:pStyle w:val="Default"/>
        <w:ind w:left="709"/>
      </w:pPr>
    </w:p>
    <w:p w14:paraId="3DD91A55" w14:textId="4EF21C0E" w:rsidR="00E23BB6" w:rsidRDefault="005C6160" w:rsidP="00E23BB6">
      <w:pPr>
        <w:pStyle w:val="Default"/>
        <w:numPr>
          <w:ilvl w:val="2"/>
          <w:numId w:val="1"/>
        </w:numPr>
        <w:ind w:left="709" w:hanging="709"/>
      </w:pPr>
      <w:r>
        <w:t>Any applicant whose application is cancelled or suspended will be notified in writing stating the grounds on which the decision has been made. If any applicant is aggrieved by such a decision, they have a right to appeal in writing to the Housing Manager within 15 working days of the date of notification being issued. The Housing Manager will review the case and respond within 15 working days. If the customer is not satisfied with the outcome of the appeal, the next stage is to follow West of Scotland</w:t>
      </w:r>
      <w:r w:rsidR="00D7509E">
        <w:t>’s</w:t>
      </w:r>
      <w:r>
        <w:t xml:space="preserve"> </w:t>
      </w:r>
      <w:r w:rsidR="00D7509E">
        <w:t>C</w:t>
      </w:r>
      <w:r>
        <w:t xml:space="preserve">omplaints </w:t>
      </w:r>
      <w:r w:rsidR="00D7509E">
        <w:t>H</w:t>
      </w:r>
      <w:r>
        <w:t xml:space="preserve">andling </w:t>
      </w:r>
      <w:r w:rsidR="00D7509E">
        <w:t>P</w:t>
      </w:r>
      <w:r>
        <w:t>rocedure.</w:t>
      </w:r>
    </w:p>
    <w:p w14:paraId="7D484D8C" w14:textId="77777777" w:rsidR="00E23BB6" w:rsidRDefault="00E23BB6" w:rsidP="00E23BB6">
      <w:pPr>
        <w:pStyle w:val="Default"/>
        <w:ind w:left="709"/>
      </w:pPr>
    </w:p>
    <w:p w14:paraId="6B3843F1" w14:textId="68936863" w:rsidR="00E23BB6" w:rsidRDefault="005C6160" w:rsidP="00E23BB6">
      <w:pPr>
        <w:pStyle w:val="Default"/>
        <w:numPr>
          <w:ilvl w:val="1"/>
          <w:numId w:val="1"/>
        </w:numPr>
        <w:ind w:left="709" w:hanging="709"/>
      </w:pPr>
      <w:bookmarkStart w:id="35" w:name="Grantingoftenancies"/>
      <w:r>
        <w:t xml:space="preserve">Granting of tenancies </w:t>
      </w:r>
      <w:bookmarkEnd w:id="35"/>
      <w:r>
        <w:t>to employees, governing body members and relatives of persons connected with West of Scotland</w:t>
      </w:r>
    </w:p>
    <w:p w14:paraId="7A189745" w14:textId="77777777" w:rsidR="00E23BB6" w:rsidRDefault="00E23BB6" w:rsidP="00E23BB6">
      <w:pPr>
        <w:pStyle w:val="Default"/>
        <w:ind w:left="709"/>
      </w:pPr>
    </w:p>
    <w:p w14:paraId="38CA7E20" w14:textId="2646B73B" w:rsidR="005F5AE0" w:rsidRDefault="005C6160" w:rsidP="005F5AE0">
      <w:pPr>
        <w:pStyle w:val="Default"/>
        <w:numPr>
          <w:ilvl w:val="2"/>
          <w:numId w:val="1"/>
        </w:numPr>
        <w:ind w:left="709" w:hanging="709"/>
      </w:pPr>
      <w:r>
        <w:lastRenderedPageBreak/>
        <w:t xml:space="preserve">Housing applications from employees and relatives of persons connected with West of Scotland will be treated in line with all other applications. All applicants shall be asked to state </w:t>
      </w:r>
      <w:r w:rsidR="003904F8">
        <w:t>whether</w:t>
      </w:r>
      <w:r>
        <w:t>, to their knowledge, they are related to a Committee or Staff/Agent member, and West of Scotland will comply with all relevant legislation, regulatory guidance and best practice in dealing with any of these applications.</w:t>
      </w:r>
    </w:p>
    <w:p w14:paraId="2733A3F7" w14:textId="77777777" w:rsidR="005F5AE0" w:rsidRDefault="005F5AE0" w:rsidP="005F5AE0">
      <w:pPr>
        <w:pStyle w:val="Default"/>
        <w:ind w:left="709"/>
      </w:pPr>
    </w:p>
    <w:p w14:paraId="1465AEAE" w14:textId="169EDBBE" w:rsidR="005F5AE0" w:rsidRDefault="005C6160" w:rsidP="005F5AE0">
      <w:pPr>
        <w:pStyle w:val="Default"/>
        <w:numPr>
          <w:ilvl w:val="1"/>
          <w:numId w:val="1"/>
        </w:numPr>
        <w:ind w:left="709" w:hanging="709"/>
      </w:pPr>
      <w:bookmarkStart w:id="36" w:name="HighRiskOffenders"/>
      <w:r>
        <w:t>High Risk Offenders</w:t>
      </w:r>
    </w:p>
    <w:bookmarkEnd w:id="36"/>
    <w:p w14:paraId="1BEB0F45" w14:textId="77777777" w:rsidR="005F5AE0" w:rsidRDefault="005F5AE0" w:rsidP="005F5AE0">
      <w:pPr>
        <w:pStyle w:val="ListParagraph"/>
      </w:pPr>
    </w:p>
    <w:p w14:paraId="6AA60ACE" w14:textId="7EF97F50" w:rsidR="005F5AE0" w:rsidRDefault="005C6160" w:rsidP="005F5AE0">
      <w:pPr>
        <w:pStyle w:val="Default"/>
        <w:numPr>
          <w:ilvl w:val="2"/>
          <w:numId w:val="1"/>
        </w:numPr>
        <w:ind w:left="709" w:hanging="709"/>
      </w:pPr>
      <w:r>
        <w:t>Some offenders will require accommodation (for example on release from prison) and may require specialist support. As a housing association, West of Scotland has a duty under Multi Agency Public Protection Arrangements to work collaboratively with local authorities and other agencies. This may involve assisting with the provision of accommodation while maintaining confidentiality and ensuring that information is shared in a sensitive and lawful way.</w:t>
      </w:r>
    </w:p>
    <w:p w14:paraId="44961147" w14:textId="77777777" w:rsidR="005F5AE0" w:rsidRDefault="005F5AE0" w:rsidP="005F5AE0">
      <w:pPr>
        <w:pStyle w:val="Default"/>
        <w:ind w:left="709"/>
      </w:pPr>
    </w:p>
    <w:p w14:paraId="6567FFED" w14:textId="223B5B9D" w:rsidR="005F5AE0" w:rsidRDefault="005C6160" w:rsidP="005F5AE0">
      <w:pPr>
        <w:pStyle w:val="Default"/>
        <w:numPr>
          <w:ilvl w:val="1"/>
          <w:numId w:val="1"/>
        </w:numPr>
        <w:ind w:left="709" w:hanging="709"/>
      </w:pPr>
      <w:bookmarkStart w:id="37" w:name="TenanciesGranted"/>
      <w:r>
        <w:t>Tenancies Granted</w:t>
      </w:r>
    </w:p>
    <w:bookmarkEnd w:id="37"/>
    <w:p w14:paraId="61D21E02" w14:textId="77777777" w:rsidR="005F5AE0" w:rsidRDefault="005F5AE0" w:rsidP="005F5AE0">
      <w:pPr>
        <w:pStyle w:val="ListParagraph"/>
      </w:pPr>
    </w:p>
    <w:p w14:paraId="14458903" w14:textId="4AA5FFF2" w:rsidR="005F5AE0" w:rsidRDefault="005C6160" w:rsidP="005F5AE0">
      <w:pPr>
        <w:pStyle w:val="Default"/>
        <w:numPr>
          <w:ilvl w:val="2"/>
          <w:numId w:val="1"/>
        </w:numPr>
        <w:ind w:left="709" w:hanging="709"/>
      </w:pPr>
      <w:r>
        <w:t>In all cases, excluding those categories below, a Scottish Secure Tenancy will be offered:</w:t>
      </w:r>
    </w:p>
    <w:p w14:paraId="5D58C82B" w14:textId="320410FC" w:rsidR="005F5AE0" w:rsidRDefault="005F5AE0" w:rsidP="005F5AE0">
      <w:pPr>
        <w:pStyle w:val="Default"/>
        <w:ind w:left="709"/>
      </w:pPr>
    </w:p>
    <w:p w14:paraId="4AA8E8F1" w14:textId="77777777" w:rsidR="005F5AE0" w:rsidRDefault="005F5AE0" w:rsidP="005F5AE0">
      <w:pPr>
        <w:pStyle w:val="Default"/>
        <w:numPr>
          <w:ilvl w:val="0"/>
          <w:numId w:val="43"/>
        </w:numPr>
      </w:pPr>
      <w:r>
        <w:t>Where a Short Scottish Secure Tenancy is appropriate in line with Schedule 6 of the Housing (Scotland) Act 2001.</w:t>
      </w:r>
    </w:p>
    <w:p w14:paraId="6F65FA62" w14:textId="392B304F" w:rsidR="005F5AE0" w:rsidRDefault="005F5AE0" w:rsidP="005F5AE0">
      <w:pPr>
        <w:pStyle w:val="Default"/>
        <w:numPr>
          <w:ilvl w:val="0"/>
          <w:numId w:val="43"/>
        </w:numPr>
      </w:pPr>
      <w:r>
        <w:t>Where in shared housing an occupancy agreement is required. This will be drafted to replicate the terms of the Scottish Secure Tenancy as far as is possible.</w:t>
      </w:r>
    </w:p>
    <w:p w14:paraId="2C2A9CCC" w14:textId="77777777" w:rsidR="005F5AE0" w:rsidRDefault="005F5AE0" w:rsidP="005F5AE0">
      <w:pPr>
        <w:pStyle w:val="Default"/>
        <w:ind w:left="709"/>
      </w:pPr>
    </w:p>
    <w:p w14:paraId="6473BCF4" w14:textId="4AB99002" w:rsidR="005F5AE0" w:rsidRDefault="005C6160" w:rsidP="005F5AE0">
      <w:pPr>
        <w:pStyle w:val="Default"/>
        <w:numPr>
          <w:ilvl w:val="2"/>
          <w:numId w:val="1"/>
        </w:numPr>
        <w:ind w:left="709" w:hanging="709"/>
      </w:pPr>
      <w:r>
        <w:t xml:space="preserve">Applicants who are married, in a civil partnership or intending to co-habit will be offered joint tenancies unless </w:t>
      </w:r>
      <w:r w:rsidR="00D7509E">
        <w:t xml:space="preserve">they </w:t>
      </w:r>
      <w:r>
        <w:t>specifically request otherwise.</w:t>
      </w:r>
    </w:p>
    <w:p w14:paraId="6AA6AE3E" w14:textId="77777777" w:rsidR="005F5AE0" w:rsidRDefault="005F5AE0" w:rsidP="005F5AE0">
      <w:pPr>
        <w:pStyle w:val="Default"/>
        <w:ind w:left="709"/>
      </w:pPr>
    </w:p>
    <w:p w14:paraId="5D32B9B3" w14:textId="7E0AF92A" w:rsidR="005F5AE0" w:rsidRDefault="005C6160" w:rsidP="005F5AE0">
      <w:pPr>
        <w:pStyle w:val="Default"/>
        <w:numPr>
          <w:ilvl w:val="1"/>
          <w:numId w:val="1"/>
        </w:numPr>
        <w:ind w:left="709" w:hanging="709"/>
      </w:pPr>
      <w:bookmarkStart w:id="38" w:name="MutualExchanges"/>
      <w:r>
        <w:t>Mutual Exchanges</w:t>
      </w:r>
    </w:p>
    <w:bookmarkEnd w:id="38"/>
    <w:p w14:paraId="0605CB1B" w14:textId="77777777" w:rsidR="005F5AE0" w:rsidRDefault="005F5AE0" w:rsidP="005F5AE0">
      <w:pPr>
        <w:pStyle w:val="Default"/>
        <w:ind w:left="709"/>
      </w:pPr>
    </w:p>
    <w:p w14:paraId="54B37F9B" w14:textId="053335F4" w:rsidR="005F5AE0" w:rsidRDefault="005C6160" w:rsidP="005F5AE0">
      <w:pPr>
        <w:pStyle w:val="Default"/>
        <w:numPr>
          <w:ilvl w:val="2"/>
          <w:numId w:val="1"/>
        </w:numPr>
        <w:ind w:left="709" w:hanging="709"/>
      </w:pPr>
      <w:r>
        <w:t>The Association is committed to enabling tenants to exchange houses, wherever possible, in</w:t>
      </w:r>
      <w:r w:rsidR="005F5AE0">
        <w:t xml:space="preserve"> </w:t>
      </w:r>
      <w:r>
        <w:t>order to satisfy their housing need, to promote mobility and to make the best use of its housing</w:t>
      </w:r>
      <w:r w:rsidR="005F5AE0">
        <w:t xml:space="preserve"> </w:t>
      </w:r>
      <w:r>
        <w:t>stock. This aim is in accordance with the Housing (Scotland) Act 2001 which governs mutual</w:t>
      </w:r>
      <w:r w:rsidR="005F5AE0">
        <w:t xml:space="preserve"> </w:t>
      </w:r>
      <w:r>
        <w:t>exchanges and states that a landlord must not unreasonably refuse permission for the mutual</w:t>
      </w:r>
      <w:r w:rsidR="005F5AE0">
        <w:t xml:space="preserve"> </w:t>
      </w:r>
      <w:r>
        <w:t>exchange of a house.</w:t>
      </w:r>
    </w:p>
    <w:p w14:paraId="18A9808C" w14:textId="77777777" w:rsidR="005F5AE0" w:rsidRDefault="005F5AE0" w:rsidP="005F5AE0">
      <w:pPr>
        <w:pStyle w:val="Default"/>
        <w:ind w:left="709"/>
      </w:pPr>
    </w:p>
    <w:p w14:paraId="11D123FD" w14:textId="063FB055" w:rsidR="00A06B5F" w:rsidRDefault="005C6160" w:rsidP="00A06B5F">
      <w:pPr>
        <w:pStyle w:val="Default"/>
        <w:numPr>
          <w:ilvl w:val="2"/>
          <w:numId w:val="1"/>
        </w:numPr>
        <w:ind w:left="709" w:hanging="709"/>
      </w:pPr>
      <w:r>
        <w:t>In general, mutual exchanges will be allowed subject to the following:</w:t>
      </w:r>
    </w:p>
    <w:p w14:paraId="3BB97DB3" w14:textId="77777777" w:rsidR="00A06B5F" w:rsidRDefault="00A06B5F" w:rsidP="00A06B5F">
      <w:pPr>
        <w:pStyle w:val="Default"/>
      </w:pPr>
    </w:p>
    <w:p w14:paraId="72C151B3" w14:textId="77777777" w:rsidR="00A06B5F" w:rsidRDefault="00A06B5F" w:rsidP="00A06B5F">
      <w:pPr>
        <w:pStyle w:val="Default"/>
        <w:numPr>
          <w:ilvl w:val="0"/>
          <w:numId w:val="44"/>
        </w:numPr>
        <w:ind w:left="1134" w:hanging="425"/>
      </w:pPr>
      <w:r>
        <w:t>the exchange must not result in overcrowding of the properties being exchanged. Our Allocations Policy will be used to assess this.</w:t>
      </w:r>
    </w:p>
    <w:p w14:paraId="22E52FA6" w14:textId="77777777" w:rsidR="00A06B5F" w:rsidRDefault="00A06B5F" w:rsidP="00A06B5F">
      <w:pPr>
        <w:pStyle w:val="Default"/>
        <w:numPr>
          <w:ilvl w:val="0"/>
          <w:numId w:val="44"/>
        </w:numPr>
        <w:ind w:left="1134" w:hanging="425"/>
      </w:pPr>
      <w:r>
        <w:t>the exchange must not result in the properties being under-occupied by more than one bedroom.</w:t>
      </w:r>
    </w:p>
    <w:p w14:paraId="39673460" w14:textId="63600632" w:rsidR="00A06B5F" w:rsidRDefault="00A06B5F" w:rsidP="00A06B5F">
      <w:pPr>
        <w:pStyle w:val="Default"/>
        <w:numPr>
          <w:ilvl w:val="0"/>
          <w:numId w:val="44"/>
        </w:numPr>
        <w:ind w:left="1134" w:hanging="425"/>
      </w:pPr>
      <w:r>
        <w:t xml:space="preserve">tenants must have clear rent accounts at the time of the mutual exchange and not owe any </w:t>
      </w:r>
      <w:r w:rsidR="007E47D9">
        <w:t>other debts to their landlord</w:t>
      </w:r>
      <w:r>
        <w:t xml:space="preserve">, </w:t>
      </w:r>
      <w:r w:rsidR="007E47D9">
        <w:t>unless</w:t>
      </w:r>
      <w:r>
        <w:t xml:space="preserve"> they have adhered </w:t>
      </w:r>
      <w:r>
        <w:lastRenderedPageBreak/>
        <w:t>to an agreed and affordable repayment arrangement for a minimum of three consecutive months.</w:t>
      </w:r>
    </w:p>
    <w:p w14:paraId="47512582" w14:textId="77777777" w:rsidR="00A06B5F" w:rsidRDefault="00A06B5F" w:rsidP="00A06B5F">
      <w:pPr>
        <w:pStyle w:val="Default"/>
        <w:numPr>
          <w:ilvl w:val="0"/>
          <w:numId w:val="44"/>
        </w:numPr>
        <w:ind w:left="1134" w:hanging="425"/>
      </w:pPr>
      <w:r>
        <w:t>neither tenant has been issued with a current Notice of Proceedings for Possession by their landlord under grounds 1 to 7, Schedule 2 of the Housing (Scotland) Act 2001 or similar grounds if the applicant is from another part of the United Kingdom.</w:t>
      </w:r>
    </w:p>
    <w:p w14:paraId="0F18D5E1" w14:textId="77777777" w:rsidR="00A06B5F" w:rsidRDefault="00A06B5F" w:rsidP="00A06B5F">
      <w:pPr>
        <w:pStyle w:val="Default"/>
        <w:numPr>
          <w:ilvl w:val="0"/>
          <w:numId w:val="44"/>
        </w:numPr>
        <w:ind w:left="1134" w:hanging="425"/>
      </w:pPr>
      <w:r>
        <w:t>neither tenant has had an Order for Recovery of Possession granted against them by their current landlord.</w:t>
      </w:r>
    </w:p>
    <w:p w14:paraId="46D1D08F" w14:textId="77777777" w:rsidR="00A06B5F" w:rsidRDefault="00A06B5F" w:rsidP="00A06B5F">
      <w:pPr>
        <w:pStyle w:val="Default"/>
        <w:numPr>
          <w:ilvl w:val="0"/>
          <w:numId w:val="44"/>
        </w:numPr>
        <w:ind w:left="1134" w:hanging="425"/>
      </w:pPr>
      <w:r>
        <w:t>neither of the properties were provided by the landlord in connection with the tenant’s employment, for example, what is known as tied accommodation.</w:t>
      </w:r>
    </w:p>
    <w:p w14:paraId="7A3AE426" w14:textId="77777777" w:rsidR="00A06B5F" w:rsidRDefault="00A06B5F" w:rsidP="00A06B5F">
      <w:pPr>
        <w:pStyle w:val="Default"/>
        <w:numPr>
          <w:ilvl w:val="0"/>
          <w:numId w:val="44"/>
        </w:numPr>
        <w:ind w:left="1134" w:hanging="425"/>
      </w:pPr>
      <w:r>
        <w:t>neither of the properties have been designed or adapted for a person whose special needs require this type of accommodation and if the exchange were to proceed there would no longer be a person with such special needs occupying the property.</w:t>
      </w:r>
    </w:p>
    <w:p w14:paraId="44705C83" w14:textId="77777777" w:rsidR="00A06B5F" w:rsidRDefault="00A06B5F" w:rsidP="00A06B5F">
      <w:pPr>
        <w:pStyle w:val="Default"/>
        <w:numPr>
          <w:ilvl w:val="0"/>
          <w:numId w:val="44"/>
        </w:numPr>
        <w:ind w:left="1134" w:hanging="425"/>
      </w:pPr>
      <w:r>
        <w:t xml:space="preserve">tenants who wish to exchange must have a Scottish Secure Tenancy. </w:t>
      </w:r>
    </w:p>
    <w:p w14:paraId="1A7954DE" w14:textId="77777777" w:rsidR="00A06B5F" w:rsidRDefault="00A06B5F" w:rsidP="00A06B5F"/>
    <w:p w14:paraId="6E734026" w14:textId="5670E50B" w:rsidR="00A06B5F" w:rsidRDefault="005C6160" w:rsidP="00A06B5F">
      <w:pPr>
        <w:pStyle w:val="Default"/>
        <w:numPr>
          <w:ilvl w:val="2"/>
          <w:numId w:val="1"/>
        </w:numPr>
        <w:ind w:left="709" w:hanging="709"/>
      </w:pPr>
      <w:bookmarkStart w:id="39" w:name="Appeals"/>
      <w:r>
        <w:t>Appeals</w:t>
      </w:r>
    </w:p>
    <w:bookmarkEnd w:id="39"/>
    <w:p w14:paraId="440FBEEC" w14:textId="77777777" w:rsidR="00A06B5F" w:rsidRDefault="00A06B5F" w:rsidP="00A06B5F">
      <w:pPr>
        <w:pStyle w:val="Default"/>
        <w:ind w:left="709"/>
      </w:pPr>
    </w:p>
    <w:p w14:paraId="04956342" w14:textId="720D9DCF" w:rsidR="00A06B5F" w:rsidRDefault="005C6160" w:rsidP="00A06B5F">
      <w:pPr>
        <w:pStyle w:val="Default"/>
        <w:numPr>
          <w:ilvl w:val="2"/>
          <w:numId w:val="45"/>
        </w:numPr>
        <w:ind w:left="709" w:hanging="709"/>
      </w:pPr>
      <w:r>
        <w:t>Applicants can appeal against the following decisions:</w:t>
      </w:r>
    </w:p>
    <w:p w14:paraId="0F6C0F4E" w14:textId="62620DF7" w:rsidR="00A06B5F" w:rsidRDefault="00A06B5F" w:rsidP="00A06B5F">
      <w:pPr>
        <w:pStyle w:val="Default"/>
        <w:ind w:left="709"/>
      </w:pPr>
    </w:p>
    <w:p w14:paraId="25A535E8" w14:textId="77777777" w:rsidR="00A06B5F" w:rsidRDefault="00A06B5F" w:rsidP="00A06B5F">
      <w:pPr>
        <w:pStyle w:val="Default"/>
        <w:numPr>
          <w:ilvl w:val="0"/>
          <w:numId w:val="46"/>
        </w:numPr>
        <w:ind w:left="1134" w:hanging="425"/>
      </w:pPr>
      <w:r>
        <w:t>A decision on an applicant’s priority.</w:t>
      </w:r>
    </w:p>
    <w:p w14:paraId="0963FE6A" w14:textId="77777777" w:rsidR="00A06B5F" w:rsidRDefault="00A06B5F" w:rsidP="00A06B5F">
      <w:pPr>
        <w:pStyle w:val="Default"/>
        <w:numPr>
          <w:ilvl w:val="0"/>
          <w:numId w:val="46"/>
        </w:numPr>
        <w:ind w:left="1134" w:hanging="425"/>
      </w:pPr>
      <w:r>
        <w:t>A decision to cancel an application.</w:t>
      </w:r>
    </w:p>
    <w:p w14:paraId="69E356EC" w14:textId="77777777" w:rsidR="00A06B5F" w:rsidRDefault="00A06B5F" w:rsidP="00A06B5F">
      <w:pPr>
        <w:pStyle w:val="Default"/>
        <w:numPr>
          <w:ilvl w:val="0"/>
          <w:numId w:val="46"/>
        </w:numPr>
        <w:ind w:left="1134" w:hanging="425"/>
      </w:pPr>
      <w:r>
        <w:t>A decision to suspend an application.</w:t>
      </w:r>
    </w:p>
    <w:p w14:paraId="2B3783CF" w14:textId="646E26CD" w:rsidR="00A06B5F" w:rsidRDefault="00A06B5F" w:rsidP="00A06B5F">
      <w:pPr>
        <w:pStyle w:val="Default"/>
        <w:numPr>
          <w:ilvl w:val="0"/>
          <w:numId w:val="46"/>
        </w:numPr>
        <w:ind w:left="1134" w:hanging="425"/>
      </w:pPr>
      <w:r>
        <w:t>An offer of a property.</w:t>
      </w:r>
    </w:p>
    <w:p w14:paraId="70D367BA" w14:textId="5A0236DF" w:rsidR="00A06B5F" w:rsidRDefault="00A06B5F" w:rsidP="00A06B5F">
      <w:pPr>
        <w:pStyle w:val="Default"/>
        <w:numPr>
          <w:ilvl w:val="0"/>
          <w:numId w:val="46"/>
        </w:numPr>
        <w:ind w:left="1134" w:hanging="425"/>
      </w:pPr>
      <w:r w:rsidRPr="007E47D9">
        <w:t>Refusal of a mutual exchange</w:t>
      </w:r>
      <w:r>
        <w:t>.</w:t>
      </w:r>
    </w:p>
    <w:p w14:paraId="711303D3" w14:textId="77777777" w:rsidR="00A06B5F" w:rsidRDefault="00A06B5F" w:rsidP="00A06B5F">
      <w:pPr>
        <w:pStyle w:val="Default"/>
      </w:pPr>
    </w:p>
    <w:p w14:paraId="176BAC28" w14:textId="1DADEA72" w:rsidR="00A06B5F" w:rsidRDefault="005C6160" w:rsidP="00A06B5F">
      <w:pPr>
        <w:pStyle w:val="Default"/>
        <w:numPr>
          <w:ilvl w:val="2"/>
          <w:numId w:val="45"/>
        </w:numPr>
        <w:ind w:left="709" w:hanging="709"/>
      </w:pPr>
      <w:r>
        <w:t xml:space="preserve">Appeals will normally be heard by the Housing Manager who will review the case and respond within 15 working days. If the Housing Manager has been involved in the original decision, then the appeal will be heard by another </w:t>
      </w:r>
      <w:r w:rsidR="007E47D9">
        <w:t>m</w:t>
      </w:r>
      <w:r>
        <w:t xml:space="preserve">anager </w:t>
      </w:r>
      <w:r w:rsidR="007E47D9">
        <w:t>of at least equivalent seniority</w:t>
      </w:r>
      <w:r w:rsidR="00A06B5F">
        <w:t>.</w:t>
      </w:r>
    </w:p>
    <w:p w14:paraId="18B83AAC" w14:textId="77777777" w:rsidR="00A06B5F" w:rsidRDefault="00A06B5F" w:rsidP="00A06B5F">
      <w:pPr>
        <w:pStyle w:val="ListParagraph"/>
      </w:pPr>
    </w:p>
    <w:p w14:paraId="3A0CFC10" w14:textId="2742A99A" w:rsidR="00A06B5F" w:rsidRDefault="005C6160" w:rsidP="00A06B5F">
      <w:pPr>
        <w:pStyle w:val="Default"/>
        <w:numPr>
          <w:ilvl w:val="2"/>
          <w:numId w:val="45"/>
        </w:numPr>
        <w:ind w:left="709" w:hanging="709"/>
      </w:pPr>
      <w:r>
        <w:t>If the applicant is not satisfied with the decision made after appeal, then they will be signposted to West of Scotland</w:t>
      </w:r>
      <w:r w:rsidR="007E47D9">
        <w:t>’s</w:t>
      </w:r>
      <w:r>
        <w:t xml:space="preserve"> </w:t>
      </w:r>
      <w:r w:rsidR="007E47D9">
        <w:t>C</w:t>
      </w:r>
      <w:r>
        <w:t xml:space="preserve">omplaints </w:t>
      </w:r>
      <w:r w:rsidR="007E47D9">
        <w:t>H</w:t>
      </w:r>
      <w:r>
        <w:t xml:space="preserve">andling </w:t>
      </w:r>
      <w:r w:rsidR="007E47D9">
        <w:t>P</w:t>
      </w:r>
      <w:r>
        <w:t>rocedure.</w:t>
      </w:r>
    </w:p>
    <w:p w14:paraId="1F2EC237" w14:textId="77777777" w:rsidR="00A06B5F" w:rsidRDefault="00A06B5F" w:rsidP="00A06B5F">
      <w:pPr>
        <w:pStyle w:val="ListParagraph"/>
      </w:pPr>
    </w:p>
    <w:p w14:paraId="1336DE8C" w14:textId="3B04669E" w:rsidR="00A06B5F" w:rsidRDefault="005C6160" w:rsidP="00A06B5F">
      <w:pPr>
        <w:pStyle w:val="Default"/>
        <w:numPr>
          <w:ilvl w:val="1"/>
          <w:numId w:val="45"/>
        </w:numPr>
        <w:ind w:left="709" w:hanging="709"/>
      </w:pPr>
      <w:bookmarkStart w:id="40" w:name="Confidentiality"/>
      <w:r>
        <w:t>Confidentiality</w:t>
      </w:r>
    </w:p>
    <w:bookmarkEnd w:id="40"/>
    <w:p w14:paraId="32E1995C" w14:textId="77777777" w:rsidR="00A06B5F" w:rsidRDefault="00A06B5F" w:rsidP="00A06B5F">
      <w:pPr>
        <w:pStyle w:val="Default"/>
        <w:ind w:left="709"/>
      </w:pPr>
    </w:p>
    <w:p w14:paraId="2704C5DF" w14:textId="7D27D0FA" w:rsidR="009E058B" w:rsidRDefault="005C6160" w:rsidP="009E058B">
      <w:pPr>
        <w:pStyle w:val="Default"/>
        <w:numPr>
          <w:ilvl w:val="2"/>
          <w:numId w:val="45"/>
        </w:numPr>
        <w:ind w:left="709" w:hanging="709"/>
      </w:pPr>
      <w:r>
        <w:t>Confidentiality regarding an applicant’s personal circumstances will be respected at all times. Members of staff who are related to, or have a close connection with, any applicants will declare the fact and have no further involvement in the allocations process.</w:t>
      </w:r>
    </w:p>
    <w:p w14:paraId="7B890645" w14:textId="77777777" w:rsidR="009E058B" w:rsidRDefault="009E058B" w:rsidP="009E058B">
      <w:pPr>
        <w:pStyle w:val="Default"/>
        <w:ind w:left="709"/>
      </w:pPr>
    </w:p>
    <w:p w14:paraId="54338C2D" w14:textId="6E8086B8" w:rsidR="009E058B" w:rsidRDefault="005C6160" w:rsidP="009E058B">
      <w:pPr>
        <w:pStyle w:val="Default"/>
        <w:numPr>
          <w:ilvl w:val="2"/>
          <w:numId w:val="45"/>
        </w:numPr>
        <w:ind w:left="709" w:hanging="709"/>
      </w:pPr>
      <w:r>
        <w:t>Applicants shall have the right to inspect the information on their files, subject to West of Scotland</w:t>
      </w:r>
      <w:r w:rsidR="00556837">
        <w:t>’s</w:t>
      </w:r>
      <w:r>
        <w:t xml:space="preserve"> legal obligations and rights to protect third parties. Upon request, West of Scotland will give applicants a full explanation as to how their application has been assessed.</w:t>
      </w:r>
    </w:p>
    <w:p w14:paraId="58956D4B" w14:textId="77777777" w:rsidR="009E058B" w:rsidRDefault="009E058B" w:rsidP="009E058B">
      <w:pPr>
        <w:pStyle w:val="ListParagraph"/>
      </w:pPr>
    </w:p>
    <w:p w14:paraId="286BCC54" w14:textId="6C31F93D" w:rsidR="005C6160" w:rsidRDefault="005C6160" w:rsidP="009E058B">
      <w:pPr>
        <w:pStyle w:val="Default"/>
        <w:numPr>
          <w:ilvl w:val="2"/>
          <w:numId w:val="45"/>
        </w:numPr>
        <w:ind w:left="709" w:hanging="709"/>
      </w:pPr>
      <w:r>
        <w:lastRenderedPageBreak/>
        <w:t>West of Scotland will ensure that applicants are informed of any changes made and that its information leaflets are updated accordingly.</w:t>
      </w:r>
    </w:p>
    <w:p w14:paraId="4A8A7247" w14:textId="77777777" w:rsidR="005C6160" w:rsidRDefault="005C6160" w:rsidP="005C6160">
      <w:pPr>
        <w:pStyle w:val="Default"/>
        <w:ind w:left="709"/>
      </w:pPr>
    </w:p>
    <w:p w14:paraId="3C4EFDBD" w14:textId="77777777" w:rsidR="005C6160" w:rsidRDefault="005C6160" w:rsidP="005C6160">
      <w:pPr>
        <w:pStyle w:val="Default"/>
        <w:ind w:left="709"/>
      </w:pPr>
    </w:p>
    <w:p w14:paraId="3D68FD5F" w14:textId="77777777" w:rsidR="005C6160" w:rsidRDefault="005C6160" w:rsidP="005C6160">
      <w:pPr>
        <w:pStyle w:val="Default"/>
        <w:ind w:left="709"/>
      </w:pPr>
    </w:p>
    <w:p w14:paraId="7FCD0AD0" w14:textId="77777777" w:rsidR="005C6160" w:rsidRDefault="005C6160" w:rsidP="005C6160">
      <w:pPr>
        <w:pStyle w:val="Default"/>
        <w:ind w:left="709"/>
      </w:pPr>
    </w:p>
    <w:p w14:paraId="636847CB" w14:textId="77777777" w:rsidR="0045212D" w:rsidRPr="0045212D" w:rsidRDefault="0045212D" w:rsidP="009E058B">
      <w:pPr>
        <w:pStyle w:val="Default"/>
      </w:pPr>
    </w:p>
    <w:sectPr w:rsidR="0045212D" w:rsidRPr="0045212D">
      <w:footerReference w:type="default" r:id="rId3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52294" w14:textId="77777777" w:rsidR="004828E0" w:rsidRDefault="004828E0" w:rsidP="00802F15">
      <w:r>
        <w:separator/>
      </w:r>
    </w:p>
  </w:endnote>
  <w:endnote w:type="continuationSeparator" w:id="0">
    <w:p w14:paraId="007DCDA8" w14:textId="77777777" w:rsidR="004828E0" w:rsidRDefault="004828E0" w:rsidP="00802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5C2B4C" w14:textId="77777777" w:rsidR="00F46FB0" w:rsidRPr="00D6293B" w:rsidRDefault="00F46FB0" w:rsidP="00EF7507">
    <w:pPr>
      <w:pStyle w:val="Footer"/>
      <w:pBdr>
        <w:top w:val="single" w:sz="4" w:space="1" w:color="D9D9D9"/>
      </w:pBdr>
      <w:jc w:val="right"/>
      <w:rPr>
        <w:sz w:val="24"/>
        <w:szCs w:val="24"/>
      </w:rPr>
    </w:pPr>
    <w:r w:rsidRPr="00D6293B">
      <w:rPr>
        <w:sz w:val="24"/>
        <w:szCs w:val="24"/>
      </w:rPr>
      <w:fldChar w:fldCharType="begin"/>
    </w:r>
    <w:r w:rsidRPr="00D6293B">
      <w:rPr>
        <w:sz w:val="24"/>
        <w:szCs w:val="24"/>
      </w:rPr>
      <w:instrText xml:space="preserve"> PAGE   \* MERGEFORMAT </w:instrText>
    </w:r>
    <w:r w:rsidRPr="00D6293B">
      <w:rPr>
        <w:sz w:val="24"/>
        <w:szCs w:val="24"/>
      </w:rPr>
      <w:fldChar w:fldCharType="separate"/>
    </w:r>
    <w:r w:rsidRPr="00D6293B">
      <w:rPr>
        <w:noProof/>
        <w:sz w:val="24"/>
        <w:szCs w:val="24"/>
      </w:rPr>
      <w:t>2</w:t>
    </w:r>
    <w:r w:rsidRPr="00D6293B">
      <w:rPr>
        <w:noProof/>
        <w:sz w:val="24"/>
        <w:szCs w:val="24"/>
      </w:rPr>
      <w:fldChar w:fldCharType="end"/>
    </w:r>
    <w:r w:rsidRPr="00D6293B">
      <w:rPr>
        <w:sz w:val="24"/>
        <w:szCs w:val="24"/>
      </w:rPr>
      <w:t xml:space="preserve"> | </w:t>
    </w:r>
    <w:r w:rsidRPr="00D6293B">
      <w:rPr>
        <w:color w:val="7F7F7F"/>
        <w:spacing w:val="60"/>
        <w:sz w:val="24"/>
        <w:szCs w:val="24"/>
      </w:rPr>
      <w:t>Page</w:t>
    </w:r>
  </w:p>
  <w:p w14:paraId="5AE48A43" w14:textId="77777777" w:rsidR="00F46FB0" w:rsidRDefault="00F46FB0">
    <w:pPr>
      <w:pStyle w:val="Footer"/>
    </w:pPr>
  </w:p>
  <w:p w14:paraId="50F40DEB" w14:textId="77777777" w:rsidR="00F46FB0" w:rsidRDefault="00F46FB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17F8B" w14:textId="77777777" w:rsidR="004828E0" w:rsidRDefault="004828E0" w:rsidP="00802F15">
      <w:r>
        <w:separator/>
      </w:r>
    </w:p>
  </w:footnote>
  <w:footnote w:type="continuationSeparator" w:id="0">
    <w:p w14:paraId="0A4F7224" w14:textId="77777777" w:rsidR="004828E0" w:rsidRDefault="004828E0" w:rsidP="00802F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AC7"/>
    <w:multiLevelType w:val="multilevel"/>
    <w:tmpl w:val="93D2566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43C202C"/>
    <w:multiLevelType w:val="hybridMultilevel"/>
    <w:tmpl w:val="DAC2F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655860"/>
    <w:multiLevelType w:val="hybridMultilevel"/>
    <w:tmpl w:val="5F0833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1C3245"/>
    <w:multiLevelType w:val="hybridMultilevel"/>
    <w:tmpl w:val="8CCA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D46DE8"/>
    <w:multiLevelType w:val="hybridMultilevel"/>
    <w:tmpl w:val="78FE62D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EF469D"/>
    <w:multiLevelType w:val="multilevel"/>
    <w:tmpl w:val="840E852E"/>
    <w:lvl w:ilvl="0">
      <w:start w:val="8"/>
      <w:numFmt w:val="decimal"/>
      <w:lvlText w:val="%1."/>
      <w:lvlJc w:val="left"/>
      <w:pPr>
        <w:ind w:left="390" w:hanging="390"/>
      </w:pPr>
      <w:rPr>
        <w:rFonts w:hint="default"/>
      </w:rPr>
    </w:lvl>
    <w:lvl w:ilvl="1">
      <w:start w:val="1"/>
      <w:numFmt w:val="decimal"/>
      <w:lvlText w:val="%1.%2."/>
      <w:lvlJc w:val="left"/>
      <w:pPr>
        <w:ind w:left="1800" w:hanging="72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6" w15:restartNumberingAfterBreak="0">
    <w:nsid w:val="0F5C6229"/>
    <w:multiLevelType w:val="hybridMultilevel"/>
    <w:tmpl w:val="13167E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4222E0"/>
    <w:multiLevelType w:val="hybridMultilevel"/>
    <w:tmpl w:val="640A71E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8" w15:restartNumberingAfterBreak="0">
    <w:nsid w:val="19366665"/>
    <w:multiLevelType w:val="multilevel"/>
    <w:tmpl w:val="70C490BC"/>
    <w:lvl w:ilvl="0">
      <w:start w:val="1"/>
      <w:numFmt w:val="decimal"/>
      <w:lvlText w:val="%1."/>
      <w:lvlJc w:val="left"/>
      <w:pPr>
        <w:ind w:left="863" w:hanging="720"/>
      </w:pPr>
      <w:rPr>
        <w:rFonts w:ascii="Arial" w:eastAsia="Arial" w:hAnsi="Arial" w:cs="Arial" w:hint="default"/>
        <w:b/>
        <w:bCs/>
        <w:spacing w:val="-6"/>
        <w:w w:val="99"/>
        <w:sz w:val="24"/>
        <w:szCs w:val="24"/>
        <w:lang w:val="en-US" w:eastAsia="en-US" w:bidi="en-US"/>
      </w:rPr>
    </w:lvl>
    <w:lvl w:ilvl="1">
      <w:start w:val="1"/>
      <w:numFmt w:val="decimal"/>
      <w:lvlText w:val="%1.%2"/>
      <w:lvlJc w:val="left"/>
      <w:pPr>
        <w:ind w:left="1429" w:hanging="720"/>
      </w:pPr>
      <w:rPr>
        <w:rFonts w:ascii="Arial" w:eastAsia="Arial" w:hAnsi="Arial" w:cs="Arial" w:hint="default"/>
        <w:spacing w:val="-4"/>
        <w:w w:val="99"/>
        <w:sz w:val="24"/>
        <w:szCs w:val="24"/>
        <w:lang w:val="en-US" w:eastAsia="en-US" w:bidi="en-US"/>
      </w:rPr>
    </w:lvl>
    <w:lvl w:ilvl="2">
      <w:numFmt w:val="bullet"/>
      <w:lvlText w:val=""/>
      <w:lvlJc w:val="left"/>
      <w:pPr>
        <w:ind w:left="1722" w:hanging="411"/>
      </w:pPr>
      <w:rPr>
        <w:rFonts w:ascii="Symbol" w:eastAsia="Symbol" w:hAnsi="Symbol" w:cs="Symbol" w:hint="default"/>
        <w:color w:val="auto"/>
        <w:w w:val="100"/>
        <w:sz w:val="22"/>
        <w:szCs w:val="22"/>
        <w:lang w:val="en-US" w:eastAsia="en-US" w:bidi="en-US"/>
      </w:rPr>
    </w:lvl>
    <w:lvl w:ilvl="3">
      <w:numFmt w:val="bullet"/>
      <w:lvlText w:val="•"/>
      <w:lvlJc w:val="left"/>
      <w:pPr>
        <w:ind w:left="2705" w:hanging="411"/>
      </w:pPr>
      <w:rPr>
        <w:rFonts w:hint="default"/>
        <w:lang w:val="en-US" w:eastAsia="en-US" w:bidi="en-US"/>
      </w:rPr>
    </w:lvl>
    <w:lvl w:ilvl="4">
      <w:numFmt w:val="bullet"/>
      <w:lvlText w:val="•"/>
      <w:lvlJc w:val="left"/>
      <w:pPr>
        <w:ind w:left="3691" w:hanging="411"/>
      </w:pPr>
      <w:rPr>
        <w:rFonts w:hint="default"/>
        <w:lang w:val="en-US" w:eastAsia="en-US" w:bidi="en-US"/>
      </w:rPr>
    </w:lvl>
    <w:lvl w:ilvl="5">
      <w:numFmt w:val="bullet"/>
      <w:lvlText w:val="•"/>
      <w:lvlJc w:val="left"/>
      <w:pPr>
        <w:ind w:left="4677" w:hanging="411"/>
      </w:pPr>
      <w:rPr>
        <w:rFonts w:hint="default"/>
        <w:lang w:val="en-US" w:eastAsia="en-US" w:bidi="en-US"/>
      </w:rPr>
    </w:lvl>
    <w:lvl w:ilvl="6">
      <w:numFmt w:val="bullet"/>
      <w:lvlText w:val="•"/>
      <w:lvlJc w:val="left"/>
      <w:pPr>
        <w:ind w:left="5663" w:hanging="411"/>
      </w:pPr>
      <w:rPr>
        <w:rFonts w:hint="default"/>
        <w:lang w:val="en-US" w:eastAsia="en-US" w:bidi="en-US"/>
      </w:rPr>
    </w:lvl>
    <w:lvl w:ilvl="7">
      <w:numFmt w:val="bullet"/>
      <w:lvlText w:val="•"/>
      <w:lvlJc w:val="left"/>
      <w:pPr>
        <w:ind w:left="6649" w:hanging="411"/>
      </w:pPr>
      <w:rPr>
        <w:rFonts w:hint="default"/>
        <w:lang w:val="en-US" w:eastAsia="en-US" w:bidi="en-US"/>
      </w:rPr>
    </w:lvl>
    <w:lvl w:ilvl="8">
      <w:numFmt w:val="bullet"/>
      <w:lvlText w:val="•"/>
      <w:lvlJc w:val="left"/>
      <w:pPr>
        <w:ind w:left="7634" w:hanging="411"/>
      </w:pPr>
      <w:rPr>
        <w:rFonts w:hint="default"/>
        <w:lang w:val="en-US" w:eastAsia="en-US" w:bidi="en-US"/>
      </w:rPr>
    </w:lvl>
  </w:abstractNum>
  <w:abstractNum w:abstractNumId="9" w15:restartNumberingAfterBreak="0">
    <w:nsid w:val="1AC94EBE"/>
    <w:multiLevelType w:val="hybridMultilevel"/>
    <w:tmpl w:val="07081C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910158"/>
    <w:multiLevelType w:val="hybridMultilevel"/>
    <w:tmpl w:val="5A70FC3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1" w15:restartNumberingAfterBreak="0">
    <w:nsid w:val="1FBE7B82"/>
    <w:multiLevelType w:val="multilevel"/>
    <w:tmpl w:val="1562C0BC"/>
    <w:lvl w:ilvl="0">
      <w:start w:val="3"/>
      <w:numFmt w:val="decimal"/>
      <w:lvlText w:val="%1"/>
      <w:lvlJc w:val="left"/>
      <w:pPr>
        <w:ind w:left="480" w:hanging="480"/>
      </w:pPr>
      <w:rPr>
        <w:rFonts w:hint="default"/>
        <w:sz w:val="23"/>
      </w:rPr>
    </w:lvl>
    <w:lvl w:ilvl="1">
      <w:start w:val="2"/>
      <w:numFmt w:val="decimal"/>
      <w:lvlText w:val="%1.%2"/>
      <w:lvlJc w:val="left"/>
      <w:pPr>
        <w:ind w:left="693" w:hanging="480"/>
      </w:pPr>
      <w:rPr>
        <w:rFonts w:hint="default"/>
        <w:sz w:val="23"/>
      </w:rPr>
    </w:lvl>
    <w:lvl w:ilvl="2">
      <w:start w:val="1"/>
      <w:numFmt w:val="decimal"/>
      <w:lvlText w:val="%1.%2.%3"/>
      <w:lvlJc w:val="left"/>
      <w:pPr>
        <w:ind w:left="1146" w:hanging="720"/>
      </w:pPr>
      <w:rPr>
        <w:rFonts w:hint="default"/>
        <w:sz w:val="23"/>
      </w:rPr>
    </w:lvl>
    <w:lvl w:ilvl="3">
      <w:start w:val="1"/>
      <w:numFmt w:val="decimal"/>
      <w:lvlText w:val="%1.%2.%3.%4"/>
      <w:lvlJc w:val="left"/>
      <w:pPr>
        <w:ind w:left="1719" w:hanging="1080"/>
      </w:pPr>
      <w:rPr>
        <w:rFonts w:hint="default"/>
        <w:sz w:val="23"/>
      </w:rPr>
    </w:lvl>
    <w:lvl w:ilvl="4">
      <w:start w:val="1"/>
      <w:numFmt w:val="decimal"/>
      <w:lvlText w:val="%1.%2.%3.%4.%5"/>
      <w:lvlJc w:val="left"/>
      <w:pPr>
        <w:ind w:left="1932" w:hanging="1080"/>
      </w:pPr>
      <w:rPr>
        <w:rFonts w:hint="default"/>
        <w:sz w:val="23"/>
      </w:rPr>
    </w:lvl>
    <w:lvl w:ilvl="5">
      <w:start w:val="1"/>
      <w:numFmt w:val="decimal"/>
      <w:lvlText w:val="%1.%2.%3.%4.%5.%6"/>
      <w:lvlJc w:val="left"/>
      <w:pPr>
        <w:ind w:left="2505" w:hanging="1440"/>
      </w:pPr>
      <w:rPr>
        <w:rFonts w:hint="default"/>
        <w:sz w:val="23"/>
      </w:rPr>
    </w:lvl>
    <w:lvl w:ilvl="6">
      <w:start w:val="1"/>
      <w:numFmt w:val="decimal"/>
      <w:lvlText w:val="%1.%2.%3.%4.%5.%6.%7"/>
      <w:lvlJc w:val="left"/>
      <w:pPr>
        <w:ind w:left="2718" w:hanging="1440"/>
      </w:pPr>
      <w:rPr>
        <w:rFonts w:hint="default"/>
        <w:sz w:val="23"/>
      </w:rPr>
    </w:lvl>
    <w:lvl w:ilvl="7">
      <w:start w:val="1"/>
      <w:numFmt w:val="decimal"/>
      <w:lvlText w:val="%1.%2.%3.%4.%5.%6.%7.%8"/>
      <w:lvlJc w:val="left"/>
      <w:pPr>
        <w:ind w:left="3291" w:hanging="1800"/>
      </w:pPr>
      <w:rPr>
        <w:rFonts w:hint="default"/>
        <w:sz w:val="23"/>
      </w:rPr>
    </w:lvl>
    <w:lvl w:ilvl="8">
      <w:start w:val="1"/>
      <w:numFmt w:val="decimal"/>
      <w:lvlText w:val="%1.%2.%3.%4.%5.%6.%7.%8.%9"/>
      <w:lvlJc w:val="left"/>
      <w:pPr>
        <w:ind w:left="3504" w:hanging="1800"/>
      </w:pPr>
      <w:rPr>
        <w:rFonts w:hint="default"/>
        <w:sz w:val="23"/>
      </w:rPr>
    </w:lvl>
  </w:abstractNum>
  <w:abstractNum w:abstractNumId="12" w15:restartNumberingAfterBreak="0">
    <w:nsid w:val="20A771D1"/>
    <w:multiLevelType w:val="hybridMultilevel"/>
    <w:tmpl w:val="FC2258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933AC5"/>
    <w:multiLevelType w:val="hybridMultilevel"/>
    <w:tmpl w:val="B4EAF2D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4" w15:restartNumberingAfterBreak="0">
    <w:nsid w:val="25E87C0B"/>
    <w:multiLevelType w:val="hybridMultilevel"/>
    <w:tmpl w:val="0FA6A2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7077DA1"/>
    <w:multiLevelType w:val="hybridMultilevel"/>
    <w:tmpl w:val="D4624E7C"/>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6" w15:restartNumberingAfterBreak="0">
    <w:nsid w:val="2EA402C7"/>
    <w:multiLevelType w:val="multilevel"/>
    <w:tmpl w:val="DF6E2D9C"/>
    <w:lvl w:ilvl="0">
      <w:start w:val="1"/>
      <w:numFmt w:val="decimal"/>
      <w:lvlText w:val="%1."/>
      <w:lvlJc w:val="left"/>
      <w:pPr>
        <w:ind w:left="1440" w:hanging="360"/>
      </w:pPr>
      <w:rPr>
        <w:rFonts w:hint="default"/>
        <w:b/>
        <w:bCs/>
      </w:rPr>
    </w:lvl>
    <w:lvl w:ilvl="1">
      <w:start w:val="1"/>
      <w:numFmt w:val="decimal"/>
      <w:isLgl/>
      <w:lvlText w:val="%1.%2"/>
      <w:lvlJc w:val="left"/>
      <w:pPr>
        <w:ind w:left="1146" w:hanging="720"/>
      </w:pPr>
      <w:rPr>
        <w:rFonts w:hint="default"/>
        <w:b w:val="0"/>
        <w:bCs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7" w15:restartNumberingAfterBreak="0">
    <w:nsid w:val="2F98286E"/>
    <w:multiLevelType w:val="hybridMultilevel"/>
    <w:tmpl w:val="6184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AD2EEA"/>
    <w:multiLevelType w:val="hybridMultilevel"/>
    <w:tmpl w:val="2A987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D6329D"/>
    <w:multiLevelType w:val="hybridMultilevel"/>
    <w:tmpl w:val="B6BAA7F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38EB5C89"/>
    <w:multiLevelType w:val="hybridMultilevel"/>
    <w:tmpl w:val="77E87B7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DD8374D"/>
    <w:multiLevelType w:val="multilevel"/>
    <w:tmpl w:val="881AB900"/>
    <w:lvl w:ilvl="0">
      <w:start w:val="8"/>
      <w:numFmt w:val="decimal"/>
      <w:lvlText w:val="%1"/>
      <w:lvlJc w:val="left"/>
      <w:pPr>
        <w:ind w:left="660" w:hanging="660"/>
      </w:pPr>
      <w:rPr>
        <w:rFonts w:hint="default"/>
      </w:rPr>
    </w:lvl>
    <w:lvl w:ilvl="1">
      <w:start w:val="20"/>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22" w15:restartNumberingAfterBreak="0">
    <w:nsid w:val="3F9D335D"/>
    <w:multiLevelType w:val="hybridMultilevel"/>
    <w:tmpl w:val="891C8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335B5C"/>
    <w:multiLevelType w:val="hybridMultilevel"/>
    <w:tmpl w:val="2736963A"/>
    <w:lvl w:ilvl="0" w:tplc="97ECA948">
      <w:numFmt w:val="bullet"/>
      <w:lvlText w:val=""/>
      <w:lvlJc w:val="left"/>
      <w:pPr>
        <w:ind w:left="830" w:hanging="413"/>
      </w:pPr>
      <w:rPr>
        <w:rFonts w:ascii="Symbol" w:eastAsia="Symbol" w:hAnsi="Symbol" w:cs="Symbol" w:hint="default"/>
        <w:w w:val="100"/>
        <w:sz w:val="22"/>
        <w:szCs w:val="22"/>
        <w:lang w:val="en-US" w:eastAsia="en-US" w:bidi="en-US"/>
      </w:rPr>
    </w:lvl>
    <w:lvl w:ilvl="1" w:tplc="9D72B876">
      <w:numFmt w:val="bullet"/>
      <w:lvlText w:val="•"/>
      <w:lvlJc w:val="left"/>
      <w:pPr>
        <w:ind w:left="1435" w:hanging="413"/>
      </w:pPr>
      <w:rPr>
        <w:rFonts w:hint="default"/>
        <w:lang w:val="en-US" w:eastAsia="en-US" w:bidi="en-US"/>
      </w:rPr>
    </w:lvl>
    <w:lvl w:ilvl="2" w:tplc="1D56D51E">
      <w:numFmt w:val="bullet"/>
      <w:lvlText w:val="•"/>
      <w:lvlJc w:val="left"/>
      <w:pPr>
        <w:ind w:left="2030" w:hanging="413"/>
      </w:pPr>
      <w:rPr>
        <w:rFonts w:hint="default"/>
        <w:lang w:val="en-US" w:eastAsia="en-US" w:bidi="en-US"/>
      </w:rPr>
    </w:lvl>
    <w:lvl w:ilvl="3" w:tplc="7B248156">
      <w:numFmt w:val="bullet"/>
      <w:lvlText w:val="•"/>
      <w:lvlJc w:val="left"/>
      <w:pPr>
        <w:ind w:left="2626" w:hanging="413"/>
      </w:pPr>
      <w:rPr>
        <w:rFonts w:hint="default"/>
        <w:lang w:val="en-US" w:eastAsia="en-US" w:bidi="en-US"/>
      </w:rPr>
    </w:lvl>
    <w:lvl w:ilvl="4" w:tplc="60B8FADE">
      <w:numFmt w:val="bullet"/>
      <w:lvlText w:val="•"/>
      <w:lvlJc w:val="left"/>
      <w:pPr>
        <w:ind w:left="3221" w:hanging="413"/>
      </w:pPr>
      <w:rPr>
        <w:rFonts w:hint="default"/>
        <w:lang w:val="en-US" w:eastAsia="en-US" w:bidi="en-US"/>
      </w:rPr>
    </w:lvl>
    <w:lvl w:ilvl="5" w:tplc="A27E404A">
      <w:numFmt w:val="bullet"/>
      <w:lvlText w:val="•"/>
      <w:lvlJc w:val="left"/>
      <w:pPr>
        <w:ind w:left="3817" w:hanging="413"/>
      </w:pPr>
      <w:rPr>
        <w:rFonts w:hint="default"/>
        <w:lang w:val="en-US" w:eastAsia="en-US" w:bidi="en-US"/>
      </w:rPr>
    </w:lvl>
    <w:lvl w:ilvl="6" w:tplc="A40A98B0">
      <w:numFmt w:val="bullet"/>
      <w:lvlText w:val="•"/>
      <w:lvlJc w:val="left"/>
      <w:pPr>
        <w:ind w:left="4412" w:hanging="413"/>
      </w:pPr>
      <w:rPr>
        <w:rFonts w:hint="default"/>
        <w:lang w:val="en-US" w:eastAsia="en-US" w:bidi="en-US"/>
      </w:rPr>
    </w:lvl>
    <w:lvl w:ilvl="7" w:tplc="0B60D736">
      <w:numFmt w:val="bullet"/>
      <w:lvlText w:val="•"/>
      <w:lvlJc w:val="left"/>
      <w:pPr>
        <w:ind w:left="5007" w:hanging="413"/>
      </w:pPr>
      <w:rPr>
        <w:rFonts w:hint="default"/>
        <w:lang w:val="en-US" w:eastAsia="en-US" w:bidi="en-US"/>
      </w:rPr>
    </w:lvl>
    <w:lvl w:ilvl="8" w:tplc="DDCA12FA">
      <w:numFmt w:val="bullet"/>
      <w:lvlText w:val="•"/>
      <w:lvlJc w:val="left"/>
      <w:pPr>
        <w:ind w:left="5603" w:hanging="413"/>
      </w:pPr>
      <w:rPr>
        <w:rFonts w:hint="default"/>
        <w:lang w:val="en-US" w:eastAsia="en-US" w:bidi="en-US"/>
      </w:rPr>
    </w:lvl>
  </w:abstractNum>
  <w:abstractNum w:abstractNumId="24" w15:restartNumberingAfterBreak="0">
    <w:nsid w:val="43025D0B"/>
    <w:multiLevelType w:val="hybridMultilevel"/>
    <w:tmpl w:val="9490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3722D9B"/>
    <w:multiLevelType w:val="hybridMultilevel"/>
    <w:tmpl w:val="93360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7A6624"/>
    <w:multiLevelType w:val="hybridMultilevel"/>
    <w:tmpl w:val="615C9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5C2D0A"/>
    <w:multiLevelType w:val="hybridMultilevel"/>
    <w:tmpl w:val="351834E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8" w15:restartNumberingAfterBreak="0">
    <w:nsid w:val="4D5047D7"/>
    <w:multiLevelType w:val="hybridMultilevel"/>
    <w:tmpl w:val="AE4A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3384510"/>
    <w:multiLevelType w:val="hybridMultilevel"/>
    <w:tmpl w:val="795A1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55A2647"/>
    <w:multiLevelType w:val="hybridMultilevel"/>
    <w:tmpl w:val="7CFC5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6990174"/>
    <w:multiLevelType w:val="hybridMultilevel"/>
    <w:tmpl w:val="DA34A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80B560E"/>
    <w:multiLevelType w:val="hybridMultilevel"/>
    <w:tmpl w:val="CE32D6B2"/>
    <w:lvl w:ilvl="0" w:tplc="F0AA6846">
      <w:numFmt w:val="bullet"/>
      <w:lvlText w:val=""/>
      <w:lvlJc w:val="left"/>
      <w:pPr>
        <w:ind w:left="1722" w:hanging="411"/>
      </w:pPr>
      <w:rPr>
        <w:rFonts w:ascii="Symbol" w:eastAsia="Symbol" w:hAnsi="Symbol" w:cs="Symbol" w:hint="default"/>
        <w:color w:val="auto"/>
        <w:w w:val="100"/>
        <w:sz w:val="22"/>
        <w:szCs w:val="22"/>
        <w:lang w:val="en-US" w:eastAsia="en-US" w:bidi="en-US"/>
      </w:rPr>
    </w:lvl>
    <w:lvl w:ilvl="1" w:tplc="CA20AD72">
      <w:numFmt w:val="bullet"/>
      <w:lvlText w:val="•"/>
      <w:lvlJc w:val="left"/>
      <w:pPr>
        <w:ind w:left="2508" w:hanging="411"/>
      </w:pPr>
      <w:rPr>
        <w:rFonts w:hint="default"/>
        <w:lang w:val="en-US" w:eastAsia="en-US" w:bidi="en-US"/>
      </w:rPr>
    </w:lvl>
    <w:lvl w:ilvl="2" w:tplc="85C42450">
      <w:numFmt w:val="bullet"/>
      <w:lvlText w:val="•"/>
      <w:lvlJc w:val="left"/>
      <w:pPr>
        <w:ind w:left="3297" w:hanging="411"/>
      </w:pPr>
      <w:rPr>
        <w:rFonts w:hint="default"/>
        <w:lang w:val="en-US" w:eastAsia="en-US" w:bidi="en-US"/>
      </w:rPr>
    </w:lvl>
    <w:lvl w:ilvl="3" w:tplc="960A92C2">
      <w:numFmt w:val="bullet"/>
      <w:lvlText w:val="•"/>
      <w:lvlJc w:val="left"/>
      <w:pPr>
        <w:ind w:left="4085" w:hanging="411"/>
      </w:pPr>
      <w:rPr>
        <w:rFonts w:hint="default"/>
        <w:lang w:val="en-US" w:eastAsia="en-US" w:bidi="en-US"/>
      </w:rPr>
    </w:lvl>
    <w:lvl w:ilvl="4" w:tplc="7ECE118C">
      <w:numFmt w:val="bullet"/>
      <w:lvlText w:val="•"/>
      <w:lvlJc w:val="left"/>
      <w:pPr>
        <w:ind w:left="4874" w:hanging="411"/>
      </w:pPr>
      <w:rPr>
        <w:rFonts w:hint="default"/>
        <w:lang w:val="en-US" w:eastAsia="en-US" w:bidi="en-US"/>
      </w:rPr>
    </w:lvl>
    <w:lvl w:ilvl="5" w:tplc="AC9440AE">
      <w:numFmt w:val="bullet"/>
      <w:lvlText w:val="•"/>
      <w:lvlJc w:val="left"/>
      <w:pPr>
        <w:ind w:left="5663" w:hanging="411"/>
      </w:pPr>
      <w:rPr>
        <w:rFonts w:hint="default"/>
        <w:lang w:val="en-US" w:eastAsia="en-US" w:bidi="en-US"/>
      </w:rPr>
    </w:lvl>
    <w:lvl w:ilvl="6" w:tplc="D592D724">
      <w:numFmt w:val="bullet"/>
      <w:lvlText w:val="•"/>
      <w:lvlJc w:val="left"/>
      <w:pPr>
        <w:ind w:left="6451" w:hanging="411"/>
      </w:pPr>
      <w:rPr>
        <w:rFonts w:hint="default"/>
        <w:lang w:val="en-US" w:eastAsia="en-US" w:bidi="en-US"/>
      </w:rPr>
    </w:lvl>
    <w:lvl w:ilvl="7" w:tplc="059ECF38">
      <w:numFmt w:val="bullet"/>
      <w:lvlText w:val="•"/>
      <w:lvlJc w:val="left"/>
      <w:pPr>
        <w:ind w:left="7240" w:hanging="411"/>
      </w:pPr>
      <w:rPr>
        <w:rFonts w:hint="default"/>
        <w:lang w:val="en-US" w:eastAsia="en-US" w:bidi="en-US"/>
      </w:rPr>
    </w:lvl>
    <w:lvl w:ilvl="8" w:tplc="478C45C4">
      <w:numFmt w:val="bullet"/>
      <w:lvlText w:val="•"/>
      <w:lvlJc w:val="left"/>
      <w:pPr>
        <w:ind w:left="8029" w:hanging="411"/>
      </w:pPr>
      <w:rPr>
        <w:rFonts w:hint="default"/>
        <w:lang w:val="en-US" w:eastAsia="en-US" w:bidi="en-US"/>
      </w:rPr>
    </w:lvl>
  </w:abstractNum>
  <w:abstractNum w:abstractNumId="33" w15:restartNumberingAfterBreak="0">
    <w:nsid w:val="5970617F"/>
    <w:multiLevelType w:val="hybridMultilevel"/>
    <w:tmpl w:val="14F66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7620DC"/>
    <w:multiLevelType w:val="hybridMultilevel"/>
    <w:tmpl w:val="A100202A"/>
    <w:lvl w:ilvl="0" w:tplc="3D0A1602">
      <w:start w:val="1"/>
      <w:numFmt w:val="decimal"/>
      <w:lvlText w:val="%1."/>
      <w:lvlJc w:val="left"/>
      <w:pPr>
        <w:ind w:left="709" w:hanging="567"/>
      </w:pPr>
      <w:rPr>
        <w:rFonts w:ascii="Arial" w:eastAsia="Arial" w:hAnsi="Arial" w:cs="Arial" w:hint="default"/>
        <w:spacing w:val="-2"/>
        <w:w w:val="99"/>
        <w:sz w:val="24"/>
        <w:szCs w:val="24"/>
        <w:lang w:val="en-US" w:eastAsia="en-US" w:bidi="en-US"/>
      </w:rPr>
    </w:lvl>
    <w:lvl w:ilvl="1" w:tplc="C740640C">
      <w:numFmt w:val="bullet"/>
      <w:lvlText w:val="•"/>
      <w:lvlJc w:val="left"/>
      <w:pPr>
        <w:ind w:left="1590" w:hanging="567"/>
      </w:pPr>
      <w:rPr>
        <w:rFonts w:hint="default"/>
        <w:lang w:val="en-US" w:eastAsia="en-US" w:bidi="en-US"/>
      </w:rPr>
    </w:lvl>
    <w:lvl w:ilvl="2" w:tplc="B9489C86">
      <w:numFmt w:val="bullet"/>
      <w:lvlText w:val="•"/>
      <w:lvlJc w:val="left"/>
      <w:pPr>
        <w:ind w:left="2481" w:hanging="567"/>
      </w:pPr>
      <w:rPr>
        <w:rFonts w:hint="default"/>
        <w:lang w:val="en-US" w:eastAsia="en-US" w:bidi="en-US"/>
      </w:rPr>
    </w:lvl>
    <w:lvl w:ilvl="3" w:tplc="641AAEA4">
      <w:numFmt w:val="bullet"/>
      <w:lvlText w:val="•"/>
      <w:lvlJc w:val="left"/>
      <w:pPr>
        <w:ind w:left="3371" w:hanging="567"/>
      </w:pPr>
      <w:rPr>
        <w:rFonts w:hint="default"/>
        <w:lang w:val="en-US" w:eastAsia="en-US" w:bidi="en-US"/>
      </w:rPr>
    </w:lvl>
    <w:lvl w:ilvl="4" w:tplc="668EC7F0">
      <w:numFmt w:val="bullet"/>
      <w:lvlText w:val="•"/>
      <w:lvlJc w:val="left"/>
      <w:pPr>
        <w:ind w:left="4262" w:hanging="567"/>
      </w:pPr>
      <w:rPr>
        <w:rFonts w:hint="default"/>
        <w:lang w:val="en-US" w:eastAsia="en-US" w:bidi="en-US"/>
      </w:rPr>
    </w:lvl>
    <w:lvl w:ilvl="5" w:tplc="CCC2C188">
      <w:numFmt w:val="bullet"/>
      <w:lvlText w:val="•"/>
      <w:lvlJc w:val="left"/>
      <w:pPr>
        <w:ind w:left="5153" w:hanging="567"/>
      </w:pPr>
      <w:rPr>
        <w:rFonts w:hint="default"/>
        <w:lang w:val="en-US" w:eastAsia="en-US" w:bidi="en-US"/>
      </w:rPr>
    </w:lvl>
    <w:lvl w:ilvl="6" w:tplc="2C36A226">
      <w:numFmt w:val="bullet"/>
      <w:lvlText w:val="•"/>
      <w:lvlJc w:val="left"/>
      <w:pPr>
        <w:ind w:left="6043" w:hanging="567"/>
      </w:pPr>
      <w:rPr>
        <w:rFonts w:hint="default"/>
        <w:lang w:val="en-US" w:eastAsia="en-US" w:bidi="en-US"/>
      </w:rPr>
    </w:lvl>
    <w:lvl w:ilvl="7" w:tplc="1BEA5CD8">
      <w:numFmt w:val="bullet"/>
      <w:lvlText w:val="•"/>
      <w:lvlJc w:val="left"/>
      <w:pPr>
        <w:ind w:left="6934" w:hanging="567"/>
      </w:pPr>
      <w:rPr>
        <w:rFonts w:hint="default"/>
        <w:lang w:val="en-US" w:eastAsia="en-US" w:bidi="en-US"/>
      </w:rPr>
    </w:lvl>
    <w:lvl w:ilvl="8" w:tplc="4036BF2A">
      <w:numFmt w:val="bullet"/>
      <w:lvlText w:val="•"/>
      <w:lvlJc w:val="left"/>
      <w:pPr>
        <w:ind w:left="7825" w:hanging="567"/>
      </w:pPr>
      <w:rPr>
        <w:rFonts w:hint="default"/>
        <w:lang w:val="en-US" w:eastAsia="en-US" w:bidi="en-US"/>
      </w:rPr>
    </w:lvl>
  </w:abstractNum>
  <w:abstractNum w:abstractNumId="35" w15:restartNumberingAfterBreak="0">
    <w:nsid w:val="5B8A0DC2"/>
    <w:multiLevelType w:val="hybridMultilevel"/>
    <w:tmpl w:val="E152A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E0F2217"/>
    <w:multiLevelType w:val="hybridMultilevel"/>
    <w:tmpl w:val="2E249EA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7" w15:restartNumberingAfterBreak="0">
    <w:nsid w:val="64A71CA9"/>
    <w:multiLevelType w:val="hybridMultilevel"/>
    <w:tmpl w:val="8DA228D2"/>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8" w15:restartNumberingAfterBreak="0">
    <w:nsid w:val="67795D8E"/>
    <w:multiLevelType w:val="multilevel"/>
    <w:tmpl w:val="C816B0D2"/>
    <w:lvl w:ilvl="0">
      <w:start w:val="9"/>
      <w:numFmt w:val="decimal"/>
      <w:lvlText w:val="%1"/>
      <w:lvlJc w:val="left"/>
      <w:pPr>
        <w:ind w:left="863" w:hanging="720"/>
      </w:pPr>
      <w:rPr>
        <w:rFonts w:hint="default"/>
        <w:lang w:val="en-US" w:eastAsia="en-US" w:bidi="en-US"/>
      </w:rPr>
    </w:lvl>
    <w:lvl w:ilvl="1">
      <w:start w:val="7"/>
      <w:numFmt w:val="decimal"/>
      <w:lvlText w:val="%1.%2"/>
      <w:lvlJc w:val="left"/>
      <w:pPr>
        <w:ind w:left="863" w:hanging="720"/>
      </w:pPr>
      <w:rPr>
        <w:rFonts w:hint="default"/>
        <w:lang w:val="en-US" w:eastAsia="en-US" w:bidi="en-US"/>
      </w:rPr>
    </w:lvl>
    <w:lvl w:ilvl="2">
      <w:start w:val="1"/>
      <w:numFmt w:val="decimal"/>
      <w:lvlText w:val="%1.%2.%3"/>
      <w:lvlJc w:val="left"/>
      <w:pPr>
        <w:ind w:left="863" w:hanging="720"/>
      </w:pPr>
      <w:rPr>
        <w:rFonts w:ascii="Arial" w:eastAsia="Arial" w:hAnsi="Arial" w:cs="Arial" w:hint="default"/>
        <w:spacing w:val="-2"/>
        <w:w w:val="99"/>
        <w:sz w:val="24"/>
        <w:szCs w:val="24"/>
        <w:lang w:val="en-US" w:eastAsia="en-US" w:bidi="en-US"/>
      </w:rPr>
    </w:lvl>
    <w:lvl w:ilvl="3">
      <w:numFmt w:val="bullet"/>
      <w:lvlText w:val="•"/>
      <w:lvlJc w:val="left"/>
      <w:pPr>
        <w:ind w:left="3483" w:hanging="720"/>
      </w:pPr>
      <w:rPr>
        <w:rFonts w:hint="default"/>
        <w:lang w:val="en-US" w:eastAsia="en-US" w:bidi="en-US"/>
      </w:rPr>
    </w:lvl>
    <w:lvl w:ilvl="4">
      <w:numFmt w:val="bullet"/>
      <w:lvlText w:val="•"/>
      <w:lvlJc w:val="left"/>
      <w:pPr>
        <w:ind w:left="4358" w:hanging="720"/>
      </w:pPr>
      <w:rPr>
        <w:rFonts w:hint="default"/>
        <w:lang w:val="en-US" w:eastAsia="en-US" w:bidi="en-US"/>
      </w:rPr>
    </w:lvl>
    <w:lvl w:ilvl="5">
      <w:numFmt w:val="bullet"/>
      <w:lvlText w:val="•"/>
      <w:lvlJc w:val="left"/>
      <w:pPr>
        <w:ind w:left="5233" w:hanging="720"/>
      </w:pPr>
      <w:rPr>
        <w:rFonts w:hint="default"/>
        <w:lang w:val="en-US" w:eastAsia="en-US" w:bidi="en-US"/>
      </w:rPr>
    </w:lvl>
    <w:lvl w:ilvl="6">
      <w:numFmt w:val="bullet"/>
      <w:lvlText w:val="•"/>
      <w:lvlJc w:val="left"/>
      <w:pPr>
        <w:ind w:left="6107" w:hanging="720"/>
      </w:pPr>
      <w:rPr>
        <w:rFonts w:hint="default"/>
        <w:lang w:val="en-US" w:eastAsia="en-US" w:bidi="en-US"/>
      </w:rPr>
    </w:lvl>
    <w:lvl w:ilvl="7">
      <w:numFmt w:val="bullet"/>
      <w:lvlText w:val="•"/>
      <w:lvlJc w:val="left"/>
      <w:pPr>
        <w:ind w:left="6982" w:hanging="720"/>
      </w:pPr>
      <w:rPr>
        <w:rFonts w:hint="default"/>
        <w:lang w:val="en-US" w:eastAsia="en-US" w:bidi="en-US"/>
      </w:rPr>
    </w:lvl>
    <w:lvl w:ilvl="8">
      <w:numFmt w:val="bullet"/>
      <w:lvlText w:val="•"/>
      <w:lvlJc w:val="left"/>
      <w:pPr>
        <w:ind w:left="7857" w:hanging="720"/>
      </w:pPr>
      <w:rPr>
        <w:rFonts w:hint="default"/>
        <w:lang w:val="en-US" w:eastAsia="en-US" w:bidi="en-US"/>
      </w:rPr>
    </w:lvl>
  </w:abstractNum>
  <w:abstractNum w:abstractNumId="39" w15:restartNumberingAfterBreak="0">
    <w:nsid w:val="69DF4C27"/>
    <w:multiLevelType w:val="hybridMultilevel"/>
    <w:tmpl w:val="569AAA0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6BC93F10"/>
    <w:multiLevelType w:val="hybridMultilevel"/>
    <w:tmpl w:val="2CFAB6B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1" w15:restartNumberingAfterBreak="0">
    <w:nsid w:val="70F37139"/>
    <w:multiLevelType w:val="hybridMultilevel"/>
    <w:tmpl w:val="E65AB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304427E"/>
    <w:multiLevelType w:val="hybridMultilevel"/>
    <w:tmpl w:val="22906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CD42AC8"/>
    <w:multiLevelType w:val="multilevel"/>
    <w:tmpl w:val="D7241A54"/>
    <w:lvl w:ilvl="0">
      <w:start w:val="1"/>
      <w:numFmt w:val="decimal"/>
      <w:lvlText w:val="%1."/>
      <w:lvlJc w:val="left"/>
      <w:pPr>
        <w:ind w:left="863" w:hanging="720"/>
      </w:pPr>
      <w:rPr>
        <w:rFonts w:ascii="Arial" w:eastAsia="Arial" w:hAnsi="Arial" w:cs="Arial" w:hint="default"/>
        <w:b/>
        <w:bCs/>
        <w:color w:val="auto"/>
        <w:spacing w:val="-9"/>
        <w:w w:val="99"/>
        <w:sz w:val="24"/>
        <w:szCs w:val="24"/>
        <w:lang w:val="en-US" w:eastAsia="en-US" w:bidi="en-US"/>
      </w:rPr>
    </w:lvl>
    <w:lvl w:ilvl="1">
      <w:start w:val="1"/>
      <w:numFmt w:val="decimal"/>
      <w:lvlText w:val="%1.%2"/>
      <w:lvlJc w:val="left"/>
      <w:pPr>
        <w:ind w:left="863" w:hanging="720"/>
      </w:pPr>
      <w:rPr>
        <w:rFonts w:ascii="Arial" w:eastAsia="Arial" w:hAnsi="Arial" w:cs="Arial" w:hint="default"/>
        <w:color w:val="auto"/>
        <w:spacing w:val="-3"/>
        <w:w w:val="99"/>
        <w:sz w:val="24"/>
        <w:szCs w:val="24"/>
        <w:lang w:val="en-US" w:eastAsia="en-US" w:bidi="en-US"/>
      </w:rPr>
    </w:lvl>
    <w:lvl w:ilvl="2">
      <w:numFmt w:val="bullet"/>
      <w:lvlText w:val=""/>
      <w:lvlJc w:val="left"/>
      <w:pPr>
        <w:ind w:left="1722" w:hanging="411"/>
      </w:pPr>
      <w:rPr>
        <w:rFonts w:ascii="Symbol" w:eastAsia="Symbol" w:hAnsi="Symbol" w:cs="Symbol" w:hint="default"/>
        <w:w w:val="100"/>
        <w:sz w:val="22"/>
        <w:szCs w:val="22"/>
        <w:lang w:val="en-US" w:eastAsia="en-US" w:bidi="en-US"/>
      </w:rPr>
    </w:lvl>
    <w:lvl w:ilvl="3">
      <w:numFmt w:val="bullet"/>
      <w:lvlText w:val="•"/>
      <w:lvlJc w:val="left"/>
      <w:pPr>
        <w:ind w:left="3472" w:hanging="411"/>
      </w:pPr>
      <w:rPr>
        <w:rFonts w:hint="default"/>
        <w:lang w:val="en-US" w:eastAsia="en-US" w:bidi="en-US"/>
      </w:rPr>
    </w:lvl>
    <w:lvl w:ilvl="4">
      <w:numFmt w:val="bullet"/>
      <w:lvlText w:val="•"/>
      <w:lvlJc w:val="left"/>
      <w:pPr>
        <w:ind w:left="4348" w:hanging="411"/>
      </w:pPr>
      <w:rPr>
        <w:rFonts w:hint="default"/>
        <w:lang w:val="en-US" w:eastAsia="en-US" w:bidi="en-US"/>
      </w:rPr>
    </w:lvl>
    <w:lvl w:ilvl="5">
      <w:numFmt w:val="bullet"/>
      <w:lvlText w:val="•"/>
      <w:lvlJc w:val="left"/>
      <w:pPr>
        <w:ind w:left="5225" w:hanging="411"/>
      </w:pPr>
      <w:rPr>
        <w:rFonts w:hint="default"/>
        <w:lang w:val="en-US" w:eastAsia="en-US" w:bidi="en-US"/>
      </w:rPr>
    </w:lvl>
    <w:lvl w:ilvl="6">
      <w:numFmt w:val="bullet"/>
      <w:lvlText w:val="•"/>
      <w:lvlJc w:val="left"/>
      <w:pPr>
        <w:ind w:left="6101" w:hanging="411"/>
      </w:pPr>
      <w:rPr>
        <w:rFonts w:hint="default"/>
        <w:lang w:val="en-US" w:eastAsia="en-US" w:bidi="en-US"/>
      </w:rPr>
    </w:lvl>
    <w:lvl w:ilvl="7">
      <w:numFmt w:val="bullet"/>
      <w:lvlText w:val="•"/>
      <w:lvlJc w:val="left"/>
      <w:pPr>
        <w:ind w:left="6977" w:hanging="411"/>
      </w:pPr>
      <w:rPr>
        <w:rFonts w:hint="default"/>
        <w:lang w:val="en-US" w:eastAsia="en-US" w:bidi="en-US"/>
      </w:rPr>
    </w:lvl>
    <w:lvl w:ilvl="8">
      <w:numFmt w:val="bullet"/>
      <w:lvlText w:val="•"/>
      <w:lvlJc w:val="left"/>
      <w:pPr>
        <w:ind w:left="7853" w:hanging="411"/>
      </w:pPr>
      <w:rPr>
        <w:rFonts w:hint="default"/>
        <w:lang w:val="en-US" w:eastAsia="en-US" w:bidi="en-US"/>
      </w:rPr>
    </w:lvl>
  </w:abstractNum>
  <w:abstractNum w:abstractNumId="44" w15:restartNumberingAfterBreak="0">
    <w:nsid w:val="7CED6C79"/>
    <w:multiLevelType w:val="hybridMultilevel"/>
    <w:tmpl w:val="62AE0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D707824"/>
    <w:multiLevelType w:val="hybridMultilevel"/>
    <w:tmpl w:val="A648C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FA2CD7"/>
    <w:multiLevelType w:val="hybridMultilevel"/>
    <w:tmpl w:val="DFECF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31201538">
    <w:abstractNumId w:val="16"/>
  </w:num>
  <w:num w:numId="2" w16cid:durableId="1296183202">
    <w:abstractNumId w:val="0"/>
  </w:num>
  <w:num w:numId="3" w16cid:durableId="1319194356">
    <w:abstractNumId w:val="12"/>
  </w:num>
  <w:num w:numId="4" w16cid:durableId="1574924863">
    <w:abstractNumId w:val="9"/>
  </w:num>
  <w:num w:numId="5" w16cid:durableId="371149236">
    <w:abstractNumId w:val="29"/>
  </w:num>
  <w:num w:numId="6" w16cid:durableId="152188693">
    <w:abstractNumId w:val="41"/>
  </w:num>
  <w:num w:numId="7" w16cid:durableId="1231497733">
    <w:abstractNumId w:val="3"/>
  </w:num>
  <w:num w:numId="8" w16cid:durableId="384716295">
    <w:abstractNumId w:val="24"/>
  </w:num>
  <w:num w:numId="9" w16cid:durableId="2014185277">
    <w:abstractNumId w:val="18"/>
  </w:num>
  <w:num w:numId="10" w16cid:durableId="1488865594">
    <w:abstractNumId w:val="4"/>
  </w:num>
  <w:num w:numId="11" w16cid:durableId="1565137933">
    <w:abstractNumId w:val="11"/>
  </w:num>
  <w:num w:numId="12" w16cid:durableId="1350066429">
    <w:abstractNumId w:val="5"/>
  </w:num>
  <w:num w:numId="13" w16cid:durableId="219438896">
    <w:abstractNumId w:val="31"/>
  </w:num>
  <w:num w:numId="14" w16cid:durableId="504249703">
    <w:abstractNumId w:val="46"/>
  </w:num>
  <w:num w:numId="15" w16cid:durableId="1161192856">
    <w:abstractNumId w:val="33"/>
  </w:num>
  <w:num w:numId="16" w16cid:durableId="2100559993">
    <w:abstractNumId w:val="35"/>
  </w:num>
  <w:num w:numId="17" w16cid:durableId="127286360">
    <w:abstractNumId w:val="30"/>
  </w:num>
  <w:num w:numId="18" w16cid:durableId="1488596560">
    <w:abstractNumId w:val="25"/>
  </w:num>
  <w:num w:numId="19" w16cid:durableId="1837381283">
    <w:abstractNumId w:val="6"/>
  </w:num>
  <w:num w:numId="20" w16cid:durableId="422995078">
    <w:abstractNumId w:val="42"/>
  </w:num>
  <w:num w:numId="21" w16cid:durableId="1703629528">
    <w:abstractNumId w:val="26"/>
  </w:num>
  <w:num w:numId="22" w16cid:durableId="601651097">
    <w:abstractNumId w:val="17"/>
  </w:num>
  <w:num w:numId="23" w16cid:durableId="1087919751">
    <w:abstractNumId w:val="2"/>
  </w:num>
  <w:num w:numId="24" w16cid:durableId="1284120542">
    <w:abstractNumId w:val="28"/>
  </w:num>
  <w:num w:numId="25" w16cid:durableId="1050609723">
    <w:abstractNumId w:val="22"/>
  </w:num>
  <w:num w:numId="26" w16cid:durableId="1336415155">
    <w:abstractNumId w:val="34"/>
  </w:num>
  <w:num w:numId="27" w16cid:durableId="1568763141">
    <w:abstractNumId w:val="43"/>
  </w:num>
  <w:num w:numId="28" w16cid:durableId="287443424">
    <w:abstractNumId w:val="44"/>
  </w:num>
  <w:num w:numId="29" w16cid:durableId="617880352">
    <w:abstractNumId w:val="32"/>
  </w:num>
  <w:num w:numId="30" w16cid:durableId="1321229247">
    <w:abstractNumId w:val="1"/>
  </w:num>
  <w:num w:numId="31" w16cid:durableId="987712417">
    <w:abstractNumId w:val="15"/>
  </w:num>
  <w:num w:numId="32" w16cid:durableId="840580072">
    <w:abstractNumId w:val="39"/>
  </w:num>
  <w:num w:numId="33" w16cid:durableId="44958759">
    <w:abstractNumId w:val="45"/>
  </w:num>
  <w:num w:numId="34" w16cid:durableId="1393196178">
    <w:abstractNumId w:val="27"/>
  </w:num>
  <w:num w:numId="35" w16cid:durableId="2134128350">
    <w:abstractNumId w:val="10"/>
  </w:num>
  <w:num w:numId="36" w16cid:durableId="337393214">
    <w:abstractNumId w:val="19"/>
  </w:num>
  <w:num w:numId="37" w16cid:durableId="926773272">
    <w:abstractNumId w:val="38"/>
  </w:num>
  <w:num w:numId="38" w16cid:durableId="632249928">
    <w:abstractNumId w:val="23"/>
  </w:num>
  <w:num w:numId="39" w16cid:durableId="1191147247">
    <w:abstractNumId w:val="8"/>
  </w:num>
  <w:num w:numId="40" w16cid:durableId="1875385603">
    <w:abstractNumId w:val="20"/>
  </w:num>
  <w:num w:numId="41" w16cid:durableId="632518734">
    <w:abstractNumId w:val="13"/>
  </w:num>
  <w:num w:numId="42" w16cid:durableId="195506990">
    <w:abstractNumId w:val="7"/>
  </w:num>
  <w:num w:numId="43" w16cid:durableId="213930665">
    <w:abstractNumId w:val="36"/>
  </w:num>
  <w:num w:numId="44" w16cid:durableId="752894227">
    <w:abstractNumId w:val="14"/>
  </w:num>
  <w:num w:numId="45" w16cid:durableId="1658145101">
    <w:abstractNumId w:val="21"/>
  </w:num>
  <w:num w:numId="46" w16cid:durableId="220529782">
    <w:abstractNumId w:val="37"/>
  </w:num>
  <w:num w:numId="47" w16cid:durableId="1735271852">
    <w:abstractNumId w:val="4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0300"/>
    <w:rsid w:val="00002552"/>
    <w:rsid w:val="00005045"/>
    <w:rsid w:val="0001095B"/>
    <w:rsid w:val="00013ABA"/>
    <w:rsid w:val="00015E28"/>
    <w:rsid w:val="00016B3C"/>
    <w:rsid w:val="00031645"/>
    <w:rsid w:val="00036348"/>
    <w:rsid w:val="00044F5A"/>
    <w:rsid w:val="00055C94"/>
    <w:rsid w:val="000645B2"/>
    <w:rsid w:val="0007284F"/>
    <w:rsid w:val="00074693"/>
    <w:rsid w:val="000770BE"/>
    <w:rsid w:val="00077682"/>
    <w:rsid w:val="000818D1"/>
    <w:rsid w:val="000A3226"/>
    <w:rsid w:val="000A4E03"/>
    <w:rsid w:val="000B2736"/>
    <w:rsid w:val="000B505E"/>
    <w:rsid w:val="000D262C"/>
    <w:rsid w:val="000D5F11"/>
    <w:rsid w:val="000D7B36"/>
    <w:rsid w:val="000F7D5F"/>
    <w:rsid w:val="00106A2A"/>
    <w:rsid w:val="00121B12"/>
    <w:rsid w:val="00135100"/>
    <w:rsid w:val="00150CC7"/>
    <w:rsid w:val="00150D40"/>
    <w:rsid w:val="001601EB"/>
    <w:rsid w:val="0016333E"/>
    <w:rsid w:val="00167DA2"/>
    <w:rsid w:val="00177AD5"/>
    <w:rsid w:val="00183DCC"/>
    <w:rsid w:val="00185493"/>
    <w:rsid w:val="001855D4"/>
    <w:rsid w:val="00197AB5"/>
    <w:rsid w:val="001A13B5"/>
    <w:rsid w:val="001A6E08"/>
    <w:rsid w:val="001B297C"/>
    <w:rsid w:val="001B2A62"/>
    <w:rsid w:val="001C3B4E"/>
    <w:rsid w:val="001D6F56"/>
    <w:rsid w:val="001D7A6C"/>
    <w:rsid w:val="001F2B8F"/>
    <w:rsid w:val="002046A2"/>
    <w:rsid w:val="00207DEB"/>
    <w:rsid w:val="00210645"/>
    <w:rsid w:val="00212AC4"/>
    <w:rsid w:val="0022090E"/>
    <w:rsid w:val="0022101A"/>
    <w:rsid w:val="002223C6"/>
    <w:rsid w:val="00224249"/>
    <w:rsid w:val="0023000E"/>
    <w:rsid w:val="00230F7A"/>
    <w:rsid w:val="00233894"/>
    <w:rsid w:val="00233DDD"/>
    <w:rsid w:val="0023749A"/>
    <w:rsid w:val="00240775"/>
    <w:rsid w:val="0024485E"/>
    <w:rsid w:val="002514CA"/>
    <w:rsid w:val="002645C5"/>
    <w:rsid w:val="00277DBC"/>
    <w:rsid w:val="00286946"/>
    <w:rsid w:val="00293ED1"/>
    <w:rsid w:val="00294F8E"/>
    <w:rsid w:val="002A4C91"/>
    <w:rsid w:val="002A7335"/>
    <w:rsid w:val="002B0268"/>
    <w:rsid w:val="002B168C"/>
    <w:rsid w:val="002B56AF"/>
    <w:rsid w:val="002D2CCF"/>
    <w:rsid w:val="002E3CF7"/>
    <w:rsid w:val="002F1C06"/>
    <w:rsid w:val="002F317B"/>
    <w:rsid w:val="002F6363"/>
    <w:rsid w:val="003063E1"/>
    <w:rsid w:val="0030656D"/>
    <w:rsid w:val="003175A0"/>
    <w:rsid w:val="00320667"/>
    <w:rsid w:val="00327AAF"/>
    <w:rsid w:val="00337E47"/>
    <w:rsid w:val="00340A34"/>
    <w:rsid w:val="00341423"/>
    <w:rsid w:val="003430AA"/>
    <w:rsid w:val="00347DAD"/>
    <w:rsid w:val="003622A8"/>
    <w:rsid w:val="003627D5"/>
    <w:rsid w:val="003705E1"/>
    <w:rsid w:val="00373CCE"/>
    <w:rsid w:val="003743D6"/>
    <w:rsid w:val="003904F8"/>
    <w:rsid w:val="003B096D"/>
    <w:rsid w:val="003B1B7B"/>
    <w:rsid w:val="003B48F2"/>
    <w:rsid w:val="003C2C2C"/>
    <w:rsid w:val="003C66AB"/>
    <w:rsid w:val="003D044A"/>
    <w:rsid w:val="003D56E0"/>
    <w:rsid w:val="003E15DA"/>
    <w:rsid w:val="003E2441"/>
    <w:rsid w:val="003F630A"/>
    <w:rsid w:val="00402371"/>
    <w:rsid w:val="00403B67"/>
    <w:rsid w:val="00422681"/>
    <w:rsid w:val="0042581B"/>
    <w:rsid w:val="00430208"/>
    <w:rsid w:val="004309EC"/>
    <w:rsid w:val="004329DA"/>
    <w:rsid w:val="00434EE8"/>
    <w:rsid w:val="00442FF4"/>
    <w:rsid w:val="00446816"/>
    <w:rsid w:val="0045062B"/>
    <w:rsid w:val="0045212D"/>
    <w:rsid w:val="0045786F"/>
    <w:rsid w:val="0046038B"/>
    <w:rsid w:val="004637EF"/>
    <w:rsid w:val="00467FD0"/>
    <w:rsid w:val="00473C68"/>
    <w:rsid w:val="00475C49"/>
    <w:rsid w:val="00476CB9"/>
    <w:rsid w:val="004828E0"/>
    <w:rsid w:val="004854C3"/>
    <w:rsid w:val="0049106F"/>
    <w:rsid w:val="00495BDA"/>
    <w:rsid w:val="004A35C1"/>
    <w:rsid w:val="004B0D6F"/>
    <w:rsid w:val="004B3721"/>
    <w:rsid w:val="004B7C7B"/>
    <w:rsid w:val="004C16EE"/>
    <w:rsid w:val="004C5F1A"/>
    <w:rsid w:val="004C7163"/>
    <w:rsid w:val="004D6B61"/>
    <w:rsid w:val="004E24E3"/>
    <w:rsid w:val="004F6860"/>
    <w:rsid w:val="00521E99"/>
    <w:rsid w:val="005312E8"/>
    <w:rsid w:val="00532F60"/>
    <w:rsid w:val="00534C64"/>
    <w:rsid w:val="00537E9D"/>
    <w:rsid w:val="005429A6"/>
    <w:rsid w:val="00545FFF"/>
    <w:rsid w:val="00551D60"/>
    <w:rsid w:val="00552662"/>
    <w:rsid w:val="00554F15"/>
    <w:rsid w:val="005562BD"/>
    <w:rsid w:val="00556837"/>
    <w:rsid w:val="00560677"/>
    <w:rsid w:val="00561451"/>
    <w:rsid w:val="00566151"/>
    <w:rsid w:val="00585C68"/>
    <w:rsid w:val="00587D74"/>
    <w:rsid w:val="005B068B"/>
    <w:rsid w:val="005B4A56"/>
    <w:rsid w:val="005C03AE"/>
    <w:rsid w:val="005C0F4D"/>
    <w:rsid w:val="005C6160"/>
    <w:rsid w:val="005D7A5E"/>
    <w:rsid w:val="005E0F51"/>
    <w:rsid w:val="005F4AB0"/>
    <w:rsid w:val="005F5AE0"/>
    <w:rsid w:val="00611B76"/>
    <w:rsid w:val="00612A88"/>
    <w:rsid w:val="00613497"/>
    <w:rsid w:val="00614854"/>
    <w:rsid w:val="0062400E"/>
    <w:rsid w:val="006311FE"/>
    <w:rsid w:val="006327D2"/>
    <w:rsid w:val="0063383A"/>
    <w:rsid w:val="00634706"/>
    <w:rsid w:val="006400EA"/>
    <w:rsid w:val="006401DB"/>
    <w:rsid w:val="00652C6E"/>
    <w:rsid w:val="006602AA"/>
    <w:rsid w:val="0067157F"/>
    <w:rsid w:val="00682B1B"/>
    <w:rsid w:val="00693453"/>
    <w:rsid w:val="006956DD"/>
    <w:rsid w:val="006B1FA8"/>
    <w:rsid w:val="006B55EF"/>
    <w:rsid w:val="006C53EE"/>
    <w:rsid w:val="006C56D9"/>
    <w:rsid w:val="006C6B61"/>
    <w:rsid w:val="006D0300"/>
    <w:rsid w:val="006D14B2"/>
    <w:rsid w:val="006D229F"/>
    <w:rsid w:val="006D318C"/>
    <w:rsid w:val="006D3698"/>
    <w:rsid w:val="006E1ED1"/>
    <w:rsid w:val="006E3C09"/>
    <w:rsid w:val="006E683E"/>
    <w:rsid w:val="006F0059"/>
    <w:rsid w:val="00700FA1"/>
    <w:rsid w:val="00703E2B"/>
    <w:rsid w:val="00705DBB"/>
    <w:rsid w:val="007213C2"/>
    <w:rsid w:val="00744144"/>
    <w:rsid w:val="00753061"/>
    <w:rsid w:val="00757F30"/>
    <w:rsid w:val="00761372"/>
    <w:rsid w:val="007649EB"/>
    <w:rsid w:val="007706A0"/>
    <w:rsid w:val="00770778"/>
    <w:rsid w:val="00771953"/>
    <w:rsid w:val="00773F6F"/>
    <w:rsid w:val="0078312D"/>
    <w:rsid w:val="00792116"/>
    <w:rsid w:val="007A0523"/>
    <w:rsid w:val="007A76CA"/>
    <w:rsid w:val="007B44E2"/>
    <w:rsid w:val="007B4532"/>
    <w:rsid w:val="007D6A8C"/>
    <w:rsid w:val="007E23B2"/>
    <w:rsid w:val="007E47D9"/>
    <w:rsid w:val="00802F15"/>
    <w:rsid w:val="008100DA"/>
    <w:rsid w:val="008107E4"/>
    <w:rsid w:val="008138C7"/>
    <w:rsid w:val="0082035A"/>
    <w:rsid w:val="0082196F"/>
    <w:rsid w:val="008242BF"/>
    <w:rsid w:val="00825FCC"/>
    <w:rsid w:val="008328CC"/>
    <w:rsid w:val="00840B80"/>
    <w:rsid w:val="0084336D"/>
    <w:rsid w:val="008444BE"/>
    <w:rsid w:val="008512B2"/>
    <w:rsid w:val="00857054"/>
    <w:rsid w:val="00872FD2"/>
    <w:rsid w:val="00875ED6"/>
    <w:rsid w:val="00893ADD"/>
    <w:rsid w:val="00897FC5"/>
    <w:rsid w:val="008A0A13"/>
    <w:rsid w:val="008A1D92"/>
    <w:rsid w:val="008A2DF6"/>
    <w:rsid w:val="008A481E"/>
    <w:rsid w:val="008A7698"/>
    <w:rsid w:val="008B5821"/>
    <w:rsid w:val="008B6CC5"/>
    <w:rsid w:val="008C0B52"/>
    <w:rsid w:val="008C10E6"/>
    <w:rsid w:val="008D1EA5"/>
    <w:rsid w:val="008E45C1"/>
    <w:rsid w:val="008F3905"/>
    <w:rsid w:val="00905A42"/>
    <w:rsid w:val="00912949"/>
    <w:rsid w:val="009165E1"/>
    <w:rsid w:val="00921C73"/>
    <w:rsid w:val="00932979"/>
    <w:rsid w:val="00945234"/>
    <w:rsid w:val="00946711"/>
    <w:rsid w:val="00947014"/>
    <w:rsid w:val="00951D6B"/>
    <w:rsid w:val="00952DC1"/>
    <w:rsid w:val="00966127"/>
    <w:rsid w:val="009849FD"/>
    <w:rsid w:val="00984A94"/>
    <w:rsid w:val="009934EF"/>
    <w:rsid w:val="009A5F21"/>
    <w:rsid w:val="009A6071"/>
    <w:rsid w:val="009A7066"/>
    <w:rsid w:val="009B083D"/>
    <w:rsid w:val="009B0AB7"/>
    <w:rsid w:val="009B3967"/>
    <w:rsid w:val="009C5FC6"/>
    <w:rsid w:val="009E058B"/>
    <w:rsid w:val="009E3A48"/>
    <w:rsid w:val="009F0CC7"/>
    <w:rsid w:val="009F1617"/>
    <w:rsid w:val="009F4685"/>
    <w:rsid w:val="00A06B5F"/>
    <w:rsid w:val="00A2001A"/>
    <w:rsid w:val="00A24B45"/>
    <w:rsid w:val="00A26CB0"/>
    <w:rsid w:val="00A428BC"/>
    <w:rsid w:val="00A47769"/>
    <w:rsid w:val="00A51E9F"/>
    <w:rsid w:val="00A5419C"/>
    <w:rsid w:val="00A63E3E"/>
    <w:rsid w:val="00A64747"/>
    <w:rsid w:val="00A67E41"/>
    <w:rsid w:val="00A727A9"/>
    <w:rsid w:val="00A808EA"/>
    <w:rsid w:val="00A95136"/>
    <w:rsid w:val="00AA5CD8"/>
    <w:rsid w:val="00AA6C9E"/>
    <w:rsid w:val="00AA726D"/>
    <w:rsid w:val="00AB12C5"/>
    <w:rsid w:val="00AB431E"/>
    <w:rsid w:val="00AB4A52"/>
    <w:rsid w:val="00AC5B92"/>
    <w:rsid w:val="00AC6551"/>
    <w:rsid w:val="00AD31F4"/>
    <w:rsid w:val="00AD54FE"/>
    <w:rsid w:val="00AE0290"/>
    <w:rsid w:val="00B022FF"/>
    <w:rsid w:val="00B11903"/>
    <w:rsid w:val="00B270D5"/>
    <w:rsid w:val="00B33848"/>
    <w:rsid w:val="00B5510A"/>
    <w:rsid w:val="00B6174D"/>
    <w:rsid w:val="00B619F9"/>
    <w:rsid w:val="00B61FA2"/>
    <w:rsid w:val="00B64B81"/>
    <w:rsid w:val="00B64D65"/>
    <w:rsid w:val="00B65B04"/>
    <w:rsid w:val="00B71345"/>
    <w:rsid w:val="00BA1B8B"/>
    <w:rsid w:val="00BA2EF9"/>
    <w:rsid w:val="00BA720F"/>
    <w:rsid w:val="00BA764D"/>
    <w:rsid w:val="00BB292D"/>
    <w:rsid w:val="00BB434E"/>
    <w:rsid w:val="00BB4A0D"/>
    <w:rsid w:val="00BC64F9"/>
    <w:rsid w:val="00BE7C51"/>
    <w:rsid w:val="00BF229A"/>
    <w:rsid w:val="00C014D1"/>
    <w:rsid w:val="00C025B9"/>
    <w:rsid w:val="00C02A6F"/>
    <w:rsid w:val="00C02DAC"/>
    <w:rsid w:val="00C1243B"/>
    <w:rsid w:val="00C22F98"/>
    <w:rsid w:val="00C24CA9"/>
    <w:rsid w:val="00C26217"/>
    <w:rsid w:val="00C35115"/>
    <w:rsid w:val="00C41D33"/>
    <w:rsid w:val="00C53CF4"/>
    <w:rsid w:val="00C61204"/>
    <w:rsid w:val="00C64641"/>
    <w:rsid w:val="00C70587"/>
    <w:rsid w:val="00C7151F"/>
    <w:rsid w:val="00C72BED"/>
    <w:rsid w:val="00C73257"/>
    <w:rsid w:val="00C7639E"/>
    <w:rsid w:val="00C76E3E"/>
    <w:rsid w:val="00C96A3C"/>
    <w:rsid w:val="00CA7552"/>
    <w:rsid w:val="00CA799C"/>
    <w:rsid w:val="00CB3264"/>
    <w:rsid w:val="00CD0D39"/>
    <w:rsid w:val="00CD11C5"/>
    <w:rsid w:val="00CE1F97"/>
    <w:rsid w:val="00CE3412"/>
    <w:rsid w:val="00CF2685"/>
    <w:rsid w:val="00CF2D0B"/>
    <w:rsid w:val="00CF41AA"/>
    <w:rsid w:val="00D011CF"/>
    <w:rsid w:val="00D03F0D"/>
    <w:rsid w:val="00D05BF1"/>
    <w:rsid w:val="00D2478A"/>
    <w:rsid w:val="00D35B5B"/>
    <w:rsid w:val="00D44C9B"/>
    <w:rsid w:val="00D6293B"/>
    <w:rsid w:val="00D72378"/>
    <w:rsid w:val="00D7509E"/>
    <w:rsid w:val="00D82478"/>
    <w:rsid w:val="00D8503C"/>
    <w:rsid w:val="00DA477A"/>
    <w:rsid w:val="00DB40EF"/>
    <w:rsid w:val="00DB458C"/>
    <w:rsid w:val="00DB53AF"/>
    <w:rsid w:val="00DB7729"/>
    <w:rsid w:val="00DC0F8C"/>
    <w:rsid w:val="00DC14B3"/>
    <w:rsid w:val="00DC26DB"/>
    <w:rsid w:val="00DD065B"/>
    <w:rsid w:val="00DD1F04"/>
    <w:rsid w:val="00DE1308"/>
    <w:rsid w:val="00DE294D"/>
    <w:rsid w:val="00DF4466"/>
    <w:rsid w:val="00DF59A0"/>
    <w:rsid w:val="00E16236"/>
    <w:rsid w:val="00E22002"/>
    <w:rsid w:val="00E23BB6"/>
    <w:rsid w:val="00E23C98"/>
    <w:rsid w:val="00E4096B"/>
    <w:rsid w:val="00E42808"/>
    <w:rsid w:val="00E50265"/>
    <w:rsid w:val="00E53A7E"/>
    <w:rsid w:val="00E57848"/>
    <w:rsid w:val="00E738EC"/>
    <w:rsid w:val="00E75714"/>
    <w:rsid w:val="00E815A4"/>
    <w:rsid w:val="00E85B21"/>
    <w:rsid w:val="00E86FCD"/>
    <w:rsid w:val="00E90DD2"/>
    <w:rsid w:val="00E934A7"/>
    <w:rsid w:val="00EC0AB2"/>
    <w:rsid w:val="00EC0C8D"/>
    <w:rsid w:val="00EC6325"/>
    <w:rsid w:val="00ED055D"/>
    <w:rsid w:val="00ED32E7"/>
    <w:rsid w:val="00ED5100"/>
    <w:rsid w:val="00ED6A3A"/>
    <w:rsid w:val="00EE794F"/>
    <w:rsid w:val="00EF6974"/>
    <w:rsid w:val="00EF7507"/>
    <w:rsid w:val="00F01CC4"/>
    <w:rsid w:val="00F04B3F"/>
    <w:rsid w:val="00F06BC7"/>
    <w:rsid w:val="00F1141F"/>
    <w:rsid w:val="00F20E4E"/>
    <w:rsid w:val="00F216C5"/>
    <w:rsid w:val="00F22E12"/>
    <w:rsid w:val="00F26365"/>
    <w:rsid w:val="00F276B9"/>
    <w:rsid w:val="00F27E27"/>
    <w:rsid w:val="00F37F5B"/>
    <w:rsid w:val="00F40DC3"/>
    <w:rsid w:val="00F46FB0"/>
    <w:rsid w:val="00F53B56"/>
    <w:rsid w:val="00F567E2"/>
    <w:rsid w:val="00F5797F"/>
    <w:rsid w:val="00F615E8"/>
    <w:rsid w:val="00F65A7A"/>
    <w:rsid w:val="00F74C0D"/>
    <w:rsid w:val="00F87245"/>
    <w:rsid w:val="00F8792B"/>
    <w:rsid w:val="00F93656"/>
    <w:rsid w:val="00F9402D"/>
    <w:rsid w:val="00F94625"/>
    <w:rsid w:val="00F94F7F"/>
    <w:rsid w:val="00F97616"/>
    <w:rsid w:val="00FA3212"/>
    <w:rsid w:val="00FA7D22"/>
    <w:rsid w:val="00FB695B"/>
    <w:rsid w:val="00FC6E8B"/>
    <w:rsid w:val="00FD05E4"/>
    <w:rsid w:val="00FD4F02"/>
    <w:rsid w:val="00FD72C7"/>
    <w:rsid w:val="00FE0E99"/>
    <w:rsid w:val="00FE27DF"/>
    <w:rsid w:val="00FF21FE"/>
    <w:rsid w:val="02CAC583"/>
    <w:rsid w:val="0AE3B840"/>
    <w:rsid w:val="0E9D583A"/>
    <w:rsid w:val="1D623358"/>
    <w:rsid w:val="1DFBF91D"/>
    <w:rsid w:val="2D778BB9"/>
    <w:rsid w:val="33EF862C"/>
    <w:rsid w:val="40E2BA5D"/>
    <w:rsid w:val="4938D679"/>
    <w:rsid w:val="4C242C59"/>
    <w:rsid w:val="5CB13AA7"/>
    <w:rsid w:val="6AB30FF5"/>
    <w:rsid w:val="76918B46"/>
    <w:rsid w:val="7D47596B"/>
    <w:rsid w:val="7E1E5D9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7889"/>
    <o:shapelayout v:ext="edit">
      <o:idmap v:ext="edit" data="1"/>
    </o:shapelayout>
  </w:shapeDefaults>
  <w:decimalSymbol w:val="."/>
  <w:listSeparator w:val=","/>
  <w14:docId w14:val="4196EA04"/>
  <w15:chartTrackingRefBased/>
  <w15:docId w15:val="{60484B02-7DEF-49A3-9A8E-BCB4A93D28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8"/>
      <w:szCs w:val="22"/>
      <w:lang w:val="en-GB" w:eastAsia="en-US"/>
    </w:rPr>
  </w:style>
  <w:style w:type="paragraph" w:styleId="Heading1">
    <w:name w:val="heading 1"/>
    <w:basedOn w:val="Normal"/>
    <w:next w:val="Normal"/>
    <w:link w:val="Heading1Char"/>
    <w:qFormat/>
    <w:rsid w:val="006D0300"/>
    <w:pPr>
      <w:keepNext/>
      <w:ind w:firstLine="720"/>
      <w:jc w:val="both"/>
      <w:outlineLvl w:val="0"/>
    </w:pPr>
    <w:rPr>
      <w:rFonts w:ascii="Times New Roman" w:eastAsia="Times New Roman" w:hAnsi="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D0300"/>
    <w:rPr>
      <w:rFonts w:ascii="Times New Roman" w:eastAsia="Times New Roman" w:hAnsi="Times New Roman"/>
      <w:sz w:val="24"/>
      <w:u w:val="single"/>
      <w:lang w:eastAsia="en-US"/>
    </w:rPr>
  </w:style>
  <w:style w:type="paragraph" w:styleId="BodyText">
    <w:name w:val="Body Text"/>
    <w:basedOn w:val="Normal"/>
    <w:link w:val="BodyTextChar"/>
    <w:rsid w:val="006D0300"/>
    <w:pPr>
      <w:jc w:val="both"/>
    </w:pPr>
    <w:rPr>
      <w:rFonts w:ascii="Times New Roman" w:eastAsia="Times New Roman" w:hAnsi="Times New Roman"/>
      <w:sz w:val="24"/>
      <w:szCs w:val="20"/>
    </w:rPr>
  </w:style>
  <w:style w:type="character" w:customStyle="1" w:styleId="BodyTextChar">
    <w:name w:val="Body Text Char"/>
    <w:link w:val="BodyText"/>
    <w:rsid w:val="006D0300"/>
    <w:rPr>
      <w:rFonts w:ascii="Times New Roman" w:eastAsia="Times New Roman" w:hAnsi="Times New Roman"/>
      <w:sz w:val="24"/>
      <w:lang w:eastAsia="en-US"/>
    </w:rPr>
  </w:style>
  <w:style w:type="paragraph" w:styleId="BodyText2">
    <w:name w:val="Body Text 2"/>
    <w:basedOn w:val="Normal"/>
    <w:link w:val="BodyText2Char"/>
    <w:rsid w:val="006D0300"/>
    <w:pPr>
      <w:jc w:val="center"/>
    </w:pPr>
    <w:rPr>
      <w:rFonts w:ascii="Times New Roman Bold" w:eastAsia="Times New Roman" w:hAnsi="Times New Roman Bold"/>
      <w:b/>
      <w:szCs w:val="20"/>
    </w:rPr>
  </w:style>
  <w:style w:type="character" w:customStyle="1" w:styleId="BodyText2Char">
    <w:name w:val="Body Text 2 Char"/>
    <w:link w:val="BodyText2"/>
    <w:rsid w:val="006D0300"/>
    <w:rPr>
      <w:rFonts w:ascii="Times New Roman Bold" w:eastAsia="Times New Roman" w:hAnsi="Times New Roman Bold"/>
      <w:b/>
      <w:sz w:val="28"/>
      <w:lang w:eastAsia="en-US"/>
    </w:rPr>
  </w:style>
  <w:style w:type="paragraph" w:styleId="BodyText3">
    <w:name w:val="Body Text 3"/>
    <w:basedOn w:val="Normal"/>
    <w:link w:val="BodyText3Char"/>
    <w:rsid w:val="006D0300"/>
    <w:rPr>
      <w:rFonts w:eastAsia="Times New Roman"/>
      <w:szCs w:val="20"/>
    </w:rPr>
  </w:style>
  <w:style w:type="character" w:customStyle="1" w:styleId="BodyText3Char">
    <w:name w:val="Body Text 3 Char"/>
    <w:link w:val="BodyText3"/>
    <w:rsid w:val="006D0300"/>
    <w:rPr>
      <w:rFonts w:eastAsia="Times New Roman"/>
      <w:sz w:val="28"/>
      <w:lang w:eastAsia="en-US"/>
    </w:rPr>
  </w:style>
  <w:style w:type="paragraph" w:styleId="BalloonText">
    <w:name w:val="Balloon Text"/>
    <w:basedOn w:val="Normal"/>
    <w:link w:val="BalloonTextChar"/>
    <w:uiPriority w:val="99"/>
    <w:semiHidden/>
    <w:unhideWhenUsed/>
    <w:rsid w:val="00C26217"/>
    <w:rPr>
      <w:rFonts w:ascii="Tahoma" w:hAnsi="Tahoma" w:cs="Tahoma"/>
      <w:sz w:val="16"/>
      <w:szCs w:val="16"/>
    </w:rPr>
  </w:style>
  <w:style w:type="character" w:customStyle="1" w:styleId="BalloonTextChar">
    <w:name w:val="Balloon Text Char"/>
    <w:link w:val="BalloonText"/>
    <w:uiPriority w:val="99"/>
    <w:semiHidden/>
    <w:rsid w:val="00C26217"/>
    <w:rPr>
      <w:rFonts w:ascii="Tahoma" w:hAnsi="Tahoma" w:cs="Tahoma"/>
      <w:sz w:val="16"/>
      <w:szCs w:val="16"/>
      <w:lang w:eastAsia="en-US"/>
    </w:rPr>
  </w:style>
  <w:style w:type="character" w:styleId="CommentReference">
    <w:name w:val="annotation reference"/>
    <w:uiPriority w:val="99"/>
    <w:semiHidden/>
    <w:unhideWhenUsed/>
    <w:rsid w:val="008C10E6"/>
    <w:rPr>
      <w:sz w:val="16"/>
      <w:szCs w:val="16"/>
    </w:rPr>
  </w:style>
  <w:style w:type="paragraph" w:styleId="CommentText">
    <w:name w:val="annotation text"/>
    <w:basedOn w:val="Normal"/>
    <w:link w:val="CommentTextChar"/>
    <w:uiPriority w:val="99"/>
    <w:unhideWhenUsed/>
    <w:rsid w:val="008C10E6"/>
    <w:rPr>
      <w:sz w:val="20"/>
      <w:szCs w:val="20"/>
    </w:rPr>
  </w:style>
  <w:style w:type="character" w:customStyle="1" w:styleId="CommentTextChar">
    <w:name w:val="Comment Text Char"/>
    <w:link w:val="CommentText"/>
    <w:uiPriority w:val="99"/>
    <w:rsid w:val="008C10E6"/>
    <w:rPr>
      <w:lang w:eastAsia="en-US"/>
    </w:rPr>
  </w:style>
  <w:style w:type="paragraph" w:styleId="CommentSubject">
    <w:name w:val="annotation subject"/>
    <w:basedOn w:val="CommentText"/>
    <w:next w:val="CommentText"/>
    <w:link w:val="CommentSubjectChar"/>
    <w:uiPriority w:val="99"/>
    <w:semiHidden/>
    <w:unhideWhenUsed/>
    <w:rsid w:val="008C10E6"/>
    <w:rPr>
      <w:b/>
      <w:bCs/>
    </w:rPr>
  </w:style>
  <w:style w:type="character" w:customStyle="1" w:styleId="CommentSubjectChar">
    <w:name w:val="Comment Subject Char"/>
    <w:link w:val="CommentSubject"/>
    <w:uiPriority w:val="99"/>
    <w:semiHidden/>
    <w:rsid w:val="008C10E6"/>
    <w:rPr>
      <w:b/>
      <w:bCs/>
      <w:lang w:eastAsia="en-US"/>
    </w:rPr>
  </w:style>
  <w:style w:type="paragraph" w:styleId="Header">
    <w:name w:val="header"/>
    <w:basedOn w:val="Normal"/>
    <w:link w:val="HeaderChar"/>
    <w:uiPriority w:val="99"/>
    <w:unhideWhenUsed/>
    <w:rsid w:val="00802F15"/>
    <w:pPr>
      <w:tabs>
        <w:tab w:val="center" w:pos="4513"/>
        <w:tab w:val="right" w:pos="9026"/>
      </w:tabs>
    </w:pPr>
  </w:style>
  <w:style w:type="character" w:customStyle="1" w:styleId="HeaderChar">
    <w:name w:val="Header Char"/>
    <w:link w:val="Header"/>
    <w:uiPriority w:val="99"/>
    <w:rsid w:val="00802F15"/>
    <w:rPr>
      <w:sz w:val="28"/>
      <w:szCs w:val="22"/>
      <w:lang w:eastAsia="en-US"/>
    </w:rPr>
  </w:style>
  <w:style w:type="paragraph" w:styleId="Footer">
    <w:name w:val="footer"/>
    <w:basedOn w:val="Normal"/>
    <w:link w:val="FooterChar"/>
    <w:uiPriority w:val="99"/>
    <w:unhideWhenUsed/>
    <w:rsid w:val="00802F15"/>
    <w:pPr>
      <w:tabs>
        <w:tab w:val="center" w:pos="4513"/>
        <w:tab w:val="right" w:pos="9026"/>
      </w:tabs>
    </w:pPr>
  </w:style>
  <w:style w:type="character" w:customStyle="1" w:styleId="FooterChar">
    <w:name w:val="Footer Char"/>
    <w:link w:val="Footer"/>
    <w:uiPriority w:val="99"/>
    <w:rsid w:val="00802F15"/>
    <w:rPr>
      <w:sz w:val="28"/>
      <w:szCs w:val="22"/>
      <w:lang w:eastAsia="en-US"/>
    </w:rPr>
  </w:style>
  <w:style w:type="character" w:styleId="Hyperlink">
    <w:name w:val="Hyperlink"/>
    <w:uiPriority w:val="99"/>
    <w:unhideWhenUsed/>
    <w:rsid w:val="00B619F9"/>
    <w:rPr>
      <w:color w:val="0563C1"/>
      <w:u w:val="single"/>
    </w:rPr>
  </w:style>
  <w:style w:type="character" w:styleId="UnresolvedMention">
    <w:name w:val="Unresolved Mention"/>
    <w:uiPriority w:val="99"/>
    <w:semiHidden/>
    <w:unhideWhenUsed/>
    <w:rsid w:val="00B619F9"/>
    <w:rPr>
      <w:color w:val="605E5C"/>
      <w:shd w:val="clear" w:color="auto" w:fill="E1DFDD"/>
    </w:rPr>
  </w:style>
  <w:style w:type="character" w:styleId="FollowedHyperlink">
    <w:name w:val="FollowedHyperlink"/>
    <w:uiPriority w:val="99"/>
    <w:semiHidden/>
    <w:unhideWhenUsed/>
    <w:rsid w:val="00B619F9"/>
    <w:rPr>
      <w:color w:val="954F72"/>
      <w:u w:val="single"/>
    </w:rPr>
  </w:style>
  <w:style w:type="paragraph" w:customStyle="1" w:styleId="Default">
    <w:name w:val="Default"/>
    <w:rsid w:val="002B56AF"/>
    <w:pPr>
      <w:autoSpaceDE w:val="0"/>
      <w:autoSpaceDN w:val="0"/>
      <w:adjustRightInd w:val="0"/>
    </w:pPr>
    <w:rPr>
      <w:rFonts w:cs="Arial"/>
      <w:color w:val="000000"/>
      <w:sz w:val="24"/>
      <w:szCs w:val="24"/>
      <w:lang w:val="en-GB" w:eastAsia="en-GB"/>
    </w:rPr>
  </w:style>
  <w:style w:type="table" w:styleId="TableGrid">
    <w:name w:val="Table Grid"/>
    <w:basedOn w:val="TableNormal"/>
    <w:uiPriority w:val="59"/>
    <w:rsid w:val="002B56AF"/>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2B56AF"/>
    <w:pPr>
      <w:ind w:left="720"/>
    </w:pPr>
  </w:style>
  <w:style w:type="table" w:customStyle="1" w:styleId="TableGrid1">
    <w:name w:val="Table Grid1"/>
    <w:basedOn w:val="TableNormal"/>
    <w:next w:val="TableGrid"/>
    <w:uiPriority w:val="39"/>
    <w:rsid w:val="008F390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uiPriority w:val="1"/>
    <w:qFormat/>
    <w:rsid w:val="00F276B9"/>
    <w:pPr>
      <w:widowControl w:val="0"/>
      <w:autoSpaceDE w:val="0"/>
      <w:autoSpaceDN w:val="0"/>
      <w:ind w:left="709" w:hanging="567"/>
    </w:pPr>
    <w:rPr>
      <w:rFonts w:eastAsia="Arial" w:cs="Arial"/>
      <w:sz w:val="24"/>
      <w:szCs w:val="24"/>
      <w:lang w:val="en-US" w:bidi="en-US"/>
    </w:rPr>
  </w:style>
  <w:style w:type="paragraph" w:customStyle="1" w:styleId="TableParagraph">
    <w:name w:val="Table Paragraph"/>
    <w:basedOn w:val="Normal"/>
    <w:uiPriority w:val="1"/>
    <w:qFormat/>
    <w:rsid w:val="0045786F"/>
    <w:pPr>
      <w:widowControl w:val="0"/>
      <w:autoSpaceDE w:val="0"/>
      <w:autoSpaceDN w:val="0"/>
      <w:ind w:left="107"/>
    </w:pPr>
    <w:rPr>
      <w:rFonts w:eastAsia="Arial" w:cs="Arial"/>
      <w:sz w:val="22"/>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lis/PolicyManagement/policy/Policies/Forms/Policy%20Document%20Set/docsethomepage.aspx?ID=3905&amp;FolderCTID=0x0120D52000DE99EA054D4DF944BE591D81E49729D0008C670BDB86BED740B0B89E295CD8357C&amp;List=a03723e1-d48b-4958-9669-9b86a90ef8b0&amp;RootFolder=%2FPolicyManagement%2Fpolicy%2FPolicies%2FCustomer%20Contact%2C%20Complaints%20Handling%20and%20Compensation%20%2D%20Scotland&amp;RecSrc=%2FPolicyManagement%2Fpolicy%2FPolicies%2FCustomer%20Contact%2C%20Complaints%20Handling%20and%20Compensation%20%2D%20Scotland" TargetMode="External"/><Relationship Id="rId18" Type="http://schemas.openxmlformats.org/officeDocument/2006/relationships/hyperlink" Target="https://www.legislation.gov.uk/sdsi/2012/9780111016718/contents" TargetMode="External"/><Relationship Id="rId26" Type="http://schemas.openxmlformats.org/officeDocument/2006/relationships/hyperlink" Target="http://www.legislation.gov.uk/asp/2014/14/contents/enacted" TargetMode="External"/><Relationship Id="rId39" Type="http://schemas.openxmlformats.org/officeDocument/2006/relationships/footer" Target="footer1.xml"/><Relationship Id="rId21" Type="http://schemas.openxmlformats.org/officeDocument/2006/relationships/hyperlink" Target="http://www.opsi.gov.uk/legislation/scotland/en2001/2001en10.htm" TargetMode="External"/><Relationship Id="rId34" Type="http://schemas.openxmlformats.org/officeDocument/2006/relationships/hyperlink" Target="https://www.gov.scot/publications/code-guidance-homelessness/" TargetMode="Externa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www.legislation.gov.uk/ukpga/2010/15/contents" TargetMode="External"/><Relationship Id="rId20" Type="http://schemas.openxmlformats.org/officeDocument/2006/relationships/hyperlink" Target="https://www.legislation.gov.uk/ukpga/1987/26/contents" TargetMode="External"/><Relationship Id="rId29" Type="http://schemas.openxmlformats.org/officeDocument/2006/relationships/hyperlink" Target="https://www.gov.scot/policies/social-housin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housing-rights.info/docs/Housing_Practitioners_Guide_to_Integrating_Asylum_Seekers_Refugees.pdf" TargetMode="External"/><Relationship Id="rId24" Type="http://schemas.openxmlformats.org/officeDocument/2006/relationships/hyperlink" Target="https://www.legislation.gov.uk/asp/2006/1/contents" TargetMode="External"/><Relationship Id="rId32" Type="http://schemas.openxmlformats.org/officeDocument/2006/relationships/hyperlink" Target="https://www.legislation.gov.uk/asp/2005/14/contents" TargetMode="External"/><Relationship Id="rId37" Type="http://schemas.openxmlformats.org/officeDocument/2006/relationships/hyperlink" Target="https://www.gov.scot/publications/social-housing-allocations-scotland-practice-guide/"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ec.europa.eu/info/law/law-topic/data-protection_en" TargetMode="External"/><Relationship Id="rId23" Type="http://schemas.openxmlformats.org/officeDocument/2006/relationships/hyperlink" Target="https://www.gov.scot/binaries/content/documents/govscot/publications/advice-and-guidance/2006/05/housing-2001-update-guidance/documents/6524844c-f41b-43d3-8e4b-58c1dad524fb/6524844c-f41b-43d3-8e4b-58c1dad524fb/govscot%3Adocument" TargetMode="External"/><Relationship Id="rId28" Type="http://schemas.openxmlformats.org/officeDocument/2006/relationships/hyperlink" Target="https://www.gov.scot/policies/social-housing/" TargetMode="External"/><Relationship Id="rId36" Type="http://schemas.openxmlformats.org/officeDocument/2006/relationships/hyperlink" Target="https://www.gov.scot/publications/social-housing-allocations-scotland-practice-guide/" TargetMode="External"/><Relationship Id="rId10" Type="http://schemas.openxmlformats.org/officeDocument/2006/relationships/image" Target="media/image1.jpeg"/><Relationship Id="rId19" Type="http://schemas.openxmlformats.org/officeDocument/2006/relationships/hyperlink" Target="http://www.opsi.gov.uk/legislation/scotland/acts2003/20030010.htm" TargetMode="External"/><Relationship Id="rId31" Type="http://schemas.openxmlformats.org/officeDocument/2006/relationships/hyperlink" Target="http://www.legislation.gov.uk/ssi/2009/210/contents/mad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pga/2018/12/contents/enacted" TargetMode="External"/><Relationship Id="rId22" Type="http://schemas.openxmlformats.org/officeDocument/2006/relationships/hyperlink" Target="https://www.gov.scot/binaries/content/documents/govscot/publications/advice-and-guidance/2006/05/housing-2001-update-guidance/documents/6524844c-f41b-43d3-8e4b-58c1dad524fb/6524844c-f41b-43d3-8e4b-58c1dad524fb/govscot%3Adocument" TargetMode="External"/><Relationship Id="rId27" Type="http://schemas.openxmlformats.org/officeDocument/2006/relationships/hyperlink" Target="https://www.legislation.gov.uk/ukpga/1998/42/contents" TargetMode="External"/><Relationship Id="rId30" Type="http://schemas.openxmlformats.org/officeDocument/2006/relationships/hyperlink" Target="https://www.gov.scot/policies/social-housing/" TargetMode="External"/><Relationship Id="rId35" Type="http://schemas.openxmlformats.org/officeDocument/2006/relationships/hyperlink" Target="https://www.scottishhousingregulator.gov.uk/publications/scottish-social-housing-charter-technical-guidance-december-2017" TargetMode="Externa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housing-rights.info/docs/Housing_Practitioners_Guide_to_Integrating_Asylum_Seekers_Refugees.pdf" TargetMode="External"/><Relationship Id="rId17" Type="http://schemas.openxmlformats.org/officeDocument/2006/relationships/hyperlink" Target="https://www.legislation.gov.uk/sdsi/2012/9780111016718/contents" TargetMode="External"/><Relationship Id="rId25" Type="http://schemas.openxmlformats.org/officeDocument/2006/relationships/hyperlink" Target="https://www.legislation.gov.uk/asp/2010/17/contents/enacted" TargetMode="External"/><Relationship Id="rId33" Type="http://schemas.openxmlformats.org/officeDocument/2006/relationships/hyperlink" Target="https://www.gov.scot/publications/minimum-period-applications-remain-force-suspensions-under-section-20b-housing-scotland-act-1987-statutory-guidance/pages/11/" TargetMode="External"/><Relationship Id="rId38" Type="http://schemas.openxmlformats.org/officeDocument/2006/relationships/hyperlink" Target="https://www.gov.scot/binaries/content/documents/govscot/publications/advice-and-guidance/2006/05/housing-2001-update-guidance/documents/housing-scotland-act-2001-homelessness-update-pdf/housing-scotland-act-2001-homelessness-update-pdf/govscot%3Adocument/housing%20(scotland)%20act%202001%20homelessness%20upd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6A415DF10A1A24AAC43AFC9C0C69F62" ma:contentTypeVersion="6" ma:contentTypeDescription="Create a new document." ma:contentTypeScope="" ma:versionID="c4de7099aca2d213d2d4291be0cfacdb">
  <xsd:schema xmlns:xsd="http://www.w3.org/2001/XMLSchema" xmlns:xs="http://www.w3.org/2001/XMLSchema" xmlns:p="http://schemas.microsoft.com/office/2006/metadata/properties" xmlns:ns2="02d239e6-3e7e-4c41-8a4b-c3540a91e4fe" xmlns:ns3="4b144669-1307-408f-9d05-b12a14409500" targetNamespace="http://schemas.microsoft.com/office/2006/metadata/properties" ma:root="true" ma:fieldsID="e9def55218cdbc1de78c8303fbf9cd52" ns2:_="" ns3:_="">
    <xsd:import namespace="02d239e6-3e7e-4c41-8a4b-c3540a91e4fe"/>
    <xsd:import namespace="4b144669-1307-408f-9d05-b12a1440950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239e6-3e7e-4c41-8a4b-c3540a91e4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144669-1307-408f-9d05-b12a1440950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69223B9-369A-4686-B308-58329482F364}">
  <ds:schemaRefs>
    <ds:schemaRef ds:uri="http://schemas.microsoft.com/sharepoint/v3/contenttype/forms"/>
  </ds:schemaRefs>
</ds:datastoreItem>
</file>

<file path=customXml/itemProps2.xml><?xml version="1.0" encoding="utf-8"?>
<ds:datastoreItem xmlns:ds="http://schemas.openxmlformats.org/officeDocument/2006/customXml" ds:itemID="{042E54E2-3063-4657-A1A0-49ACC8429F6B}">
  <ds:schemaRefs>
    <ds:schemaRef ds:uri="http://schemas.openxmlformats.org/officeDocument/2006/bibliography"/>
  </ds:schemaRefs>
</ds:datastoreItem>
</file>

<file path=customXml/itemProps3.xml><?xml version="1.0" encoding="utf-8"?>
<ds:datastoreItem xmlns:ds="http://schemas.openxmlformats.org/officeDocument/2006/customXml" ds:itemID="{38E95331-94A8-477F-940A-189A5BD62C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239e6-3e7e-4c41-8a4b-c3540a91e4fe"/>
    <ds:schemaRef ds:uri="4b144669-1307-408f-9d05-b12a14409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7646</Words>
  <Characters>43588</Characters>
  <Application>Microsoft Office Word</Application>
  <DocSecurity>4</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Brendan McGeever</dc:creator>
  <cp:keywords/>
  <dc:description/>
  <cp:lastModifiedBy>Alistair Reid</cp:lastModifiedBy>
  <cp:revision>2</cp:revision>
  <cp:lastPrinted>2019-10-15T15:24:00Z</cp:lastPrinted>
  <dcterms:created xsi:type="dcterms:W3CDTF">2022-06-23T09:29:00Z</dcterms:created>
  <dcterms:modified xsi:type="dcterms:W3CDTF">2022-06-23T09:29:00Z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-1708592825</vt:i4>
  </property>
  <property fmtid="{D5CDD505-2E9C-101B-9397-08002B2CF9AE}" pid="3" name="_NewReviewCycle">
    <vt:lpwstr/>
  </property>
  <property fmtid="{D5CDD505-2E9C-101B-9397-08002B2CF9AE}" pid="4" name="_EmailSubject">
    <vt:lpwstr>Allocations Policy &amp; Procedure</vt:lpwstr>
  </property>
  <property fmtid="{D5CDD505-2E9C-101B-9397-08002B2CF9AE}" pid="5" name="_AuthorEmail">
    <vt:lpwstr>brendan.mcgeever@westscot.co.uk</vt:lpwstr>
  </property>
  <property fmtid="{D5CDD505-2E9C-101B-9397-08002B2CF9AE}" pid="6" name="_AuthorEmailDisplayName">
    <vt:lpwstr>Brendan McGeever</vt:lpwstr>
  </property>
  <property fmtid="{D5CDD505-2E9C-101B-9397-08002B2CF9AE}" pid="7" name="_ReviewingToolsShownOnce">
    <vt:lpwstr/>
  </property>
</Properties>
</file>